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0CA8" w14:textId="77777777" w:rsidR="008276E1" w:rsidRDefault="008276E1" w:rsidP="00822697">
      <w:pPr>
        <w:rPr>
          <w:b/>
          <w:sz w:val="24"/>
          <w:szCs w:val="24"/>
          <w:lang w:eastAsia="en-US"/>
        </w:rPr>
      </w:pPr>
      <w:r>
        <w:rPr>
          <w:b/>
          <w:sz w:val="24"/>
          <w:szCs w:val="24"/>
          <w:lang w:eastAsia="en-US"/>
        </w:rPr>
        <w:t>Appendix 1</w:t>
      </w:r>
      <w:r w:rsidR="00822697" w:rsidRPr="00822697">
        <w:rPr>
          <w:b/>
          <w:sz w:val="24"/>
          <w:szCs w:val="24"/>
          <w:lang w:eastAsia="en-US"/>
        </w:rPr>
        <w:t xml:space="preserve"> </w:t>
      </w:r>
    </w:p>
    <w:p w14:paraId="2F1EBB7B" w14:textId="77777777" w:rsidR="00455B7F" w:rsidRPr="00822697" w:rsidRDefault="00455B7F" w:rsidP="00455B7F">
      <w:pPr>
        <w:rPr>
          <w:sz w:val="24"/>
          <w:szCs w:val="24"/>
          <w:lang w:eastAsia="en-US"/>
        </w:rPr>
      </w:pPr>
      <w:r w:rsidRPr="00822697">
        <w:rPr>
          <w:sz w:val="24"/>
          <w:szCs w:val="24"/>
          <w:lang w:eastAsia="en-US"/>
        </w:rPr>
        <w:t>Example template* for the empiric treatment of patients hospitalized with community-acquired pneumonia</w:t>
      </w:r>
    </w:p>
    <w:tbl>
      <w:tblPr>
        <w:tblStyle w:val="TableGrid"/>
        <w:tblW w:w="13428" w:type="dxa"/>
        <w:tblLayout w:type="fixed"/>
        <w:tblLook w:val="04A0" w:firstRow="1" w:lastRow="0" w:firstColumn="1" w:lastColumn="0" w:noHBand="0" w:noVBand="1"/>
      </w:tblPr>
      <w:tblGrid>
        <w:gridCol w:w="3438"/>
        <w:gridCol w:w="3420"/>
        <w:gridCol w:w="3420"/>
        <w:gridCol w:w="3150"/>
      </w:tblGrid>
      <w:tr w:rsidR="00455B7F" w:rsidRPr="00822697" w14:paraId="4DEAE686" w14:textId="77777777" w:rsidTr="00D34EA9">
        <w:trPr>
          <w:trHeight w:val="557"/>
        </w:trPr>
        <w:tc>
          <w:tcPr>
            <w:tcW w:w="13428" w:type="dxa"/>
            <w:gridSpan w:val="4"/>
          </w:tcPr>
          <w:p w14:paraId="490B3486" w14:textId="77777777" w:rsidR="00455B7F" w:rsidRPr="00822697" w:rsidRDefault="00455B7F" w:rsidP="00D34EA9">
            <w:pPr>
              <w:jc w:val="center"/>
              <w:rPr>
                <w:b/>
              </w:rPr>
            </w:pPr>
            <w:r>
              <w:rPr>
                <w:b/>
              </w:rPr>
              <w:t>Hospitalized community-acquired p</w:t>
            </w:r>
            <w:r w:rsidRPr="00822697">
              <w:rPr>
                <w:b/>
              </w:rPr>
              <w:t>neumonia (CAP)</w:t>
            </w:r>
          </w:p>
        </w:tc>
      </w:tr>
      <w:tr w:rsidR="00455B7F" w:rsidRPr="00822697" w14:paraId="2C9E4FCE" w14:textId="77777777" w:rsidTr="00D34EA9">
        <w:trPr>
          <w:trHeight w:val="530"/>
        </w:trPr>
        <w:tc>
          <w:tcPr>
            <w:tcW w:w="6858" w:type="dxa"/>
            <w:gridSpan w:val="2"/>
          </w:tcPr>
          <w:p w14:paraId="479A8775" w14:textId="77777777" w:rsidR="00455B7F" w:rsidRPr="00822697" w:rsidRDefault="00455B7F" w:rsidP="00D34EA9">
            <w:pPr>
              <w:jc w:val="center"/>
              <w:rPr>
                <w:b/>
              </w:rPr>
            </w:pPr>
            <w:r w:rsidRPr="00822697">
              <w:rPr>
                <w:b/>
              </w:rPr>
              <w:t>Choice for initial empiric treatment</w:t>
            </w:r>
          </w:p>
        </w:tc>
        <w:tc>
          <w:tcPr>
            <w:tcW w:w="3420" w:type="dxa"/>
            <w:vMerge w:val="restart"/>
          </w:tcPr>
          <w:p w14:paraId="0E4B791C" w14:textId="77777777" w:rsidR="00455B7F" w:rsidRPr="00822697" w:rsidRDefault="00455B7F" w:rsidP="00D34EA9">
            <w:pPr>
              <w:rPr>
                <w:b/>
              </w:rPr>
            </w:pPr>
            <w:r w:rsidRPr="00822697">
              <w:rPr>
                <w:b/>
              </w:rPr>
              <w:t xml:space="preserve">Choice for </w:t>
            </w:r>
            <w:r>
              <w:rPr>
                <w:b/>
              </w:rPr>
              <w:t xml:space="preserve">switching from IV to </w:t>
            </w:r>
            <w:r w:rsidRPr="00822697">
              <w:rPr>
                <w:b/>
              </w:rPr>
              <w:t xml:space="preserve">oral </w:t>
            </w:r>
            <w:proofErr w:type="spellStart"/>
            <w:r w:rsidRPr="00822697">
              <w:rPr>
                <w:b/>
              </w:rPr>
              <w:t>treatment</w:t>
            </w:r>
            <w:r>
              <w:rPr>
                <w:b/>
                <w:vertAlign w:val="superscript"/>
              </w:rPr>
              <w:t>e</w:t>
            </w:r>
            <w:proofErr w:type="spellEnd"/>
          </w:p>
        </w:tc>
        <w:tc>
          <w:tcPr>
            <w:tcW w:w="3150" w:type="dxa"/>
            <w:vMerge w:val="restart"/>
          </w:tcPr>
          <w:p w14:paraId="0071E657" w14:textId="77777777" w:rsidR="00455B7F" w:rsidRPr="00822697" w:rsidRDefault="00455B7F" w:rsidP="00D34EA9">
            <w:pPr>
              <w:rPr>
                <w:b/>
              </w:rPr>
            </w:pPr>
            <w:r w:rsidRPr="00822697">
              <w:rPr>
                <w:b/>
              </w:rPr>
              <w:t xml:space="preserve">Total </w:t>
            </w:r>
            <w:proofErr w:type="spellStart"/>
            <w:r w:rsidRPr="00822697">
              <w:rPr>
                <w:b/>
              </w:rPr>
              <w:t>duration</w:t>
            </w:r>
            <w:r w:rsidRPr="00E976C8">
              <w:rPr>
                <w:b/>
                <w:vertAlign w:val="superscript"/>
              </w:rPr>
              <w:t>f</w:t>
            </w:r>
            <w:proofErr w:type="spellEnd"/>
          </w:p>
        </w:tc>
      </w:tr>
      <w:tr w:rsidR="00455B7F" w:rsidRPr="00822697" w14:paraId="1C9A3CBC" w14:textId="77777777" w:rsidTr="00D34EA9">
        <w:trPr>
          <w:trHeight w:val="530"/>
        </w:trPr>
        <w:tc>
          <w:tcPr>
            <w:tcW w:w="3438" w:type="dxa"/>
          </w:tcPr>
          <w:p w14:paraId="50684E27" w14:textId="77777777" w:rsidR="00455B7F" w:rsidRPr="00822697" w:rsidRDefault="00455B7F" w:rsidP="00D34EA9">
            <w:pPr>
              <w:rPr>
                <w:b/>
              </w:rPr>
            </w:pPr>
            <w:r w:rsidRPr="00822697">
              <w:rPr>
                <w:b/>
              </w:rPr>
              <w:t>Non</w:t>
            </w:r>
            <w:r>
              <w:rPr>
                <w:b/>
              </w:rPr>
              <w:t xml:space="preserve">-severe </w:t>
            </w:r>
            <w:proofErr w:type="spellStart"/>
            <w:r w:rsidRPr="00A52A9B">
              <w:rPr>
                <w:b/>
              </w:rPr>
              <w:t>CAP</w:t>
            </w:r>
            <w:r w:rsidRPr="00A52A9B">
              <w:rPr>
                <w:b/>
                <w:vertAlign w:val="superscript"/>
              </w:rPr>
              <w:t>a,b,c</w:t>
            </w:r>
            <w:proofErr w:type="spellEnd"/>
          </w:p>
        </w:tc>
        <w:tc>
          <w:tcPr>
            <w:tcW w:w="3420" w:type="dxa"/>
          </w:tcPr>
          <w:p w14:paraId="4C8B1BFA" w14:textId="77777777" w:rsidR="00455B7F" w:rsidRPr="00822697" w:rsidRDefault="00455B7F" w:rsidP="00D34EA9">
            <w:pPr>
              <w:rPr>
                <w:b/>
              </w:rPr>
            </w:pPr>
            <w:r>
              <w:rPr>
                <w:b/>
              </w:rPr>
              <w:t xml:space="preserve">Severe </w:t>
            </w:r>
            <w:proofErr w:type="spellStart"/>
            <w:r w:rsidRPr="00A52A9B">
              <w:rPr>
                <w:b/>
              </w:rPr>
              <w:t>CAP</w:t>
            </w:r>
            <w:r w:rsidRPr="00A52A9B">
              <w:rPr>
                <w:b/>
                <w:vertAlign w:val="superscript"/>
              </w:rPr>
              <w:t>b,c,d</w:t>
            </w:r>
            <w:proofErr w:type="spellEnd"/>
          </w:p>
        </w:tc>
        <w:tc>
          <w:tcPr>
            <w:tcW w:w="3420" w:type="dxa"/>
            <w:vMerge/>
          </w:tcPr>
          <w:p w14:paraId="0FBD13E6" w14:textId="77777777" w:rsidR="00455B7F" w:rsidRPr="00822697" w:rsidRDefault="00455B7F" w:rsidP="00D34EA9">
            <w:pPr>
              <w:rPr>
                <w:b/>
              </w:rPr>
            </w:pPr>
          </w:p>
        </w:tc>
        <w:tc>
          <w:tcPr>
            <w:tcW w:w="3150" w:type="dxa"/>
            <w:vMerge/>
          </w:tcPr>
          <w:p w14:paraId="63B11C5E" w14:textId="77777777" w:rsidR="00455B7F" w:rsidRPr="00822697" w:rsidRDefault="00455B7F" w:rsidP="00D34EA9">
            <w:pPr>
              <w:rPr>
                <w:b/>
              </w:rPr>
            </w:pPr>
          </w:p>
        </w:tc>
      </w:tr>
      <w:tr w:rsidR="00455B7F" w:rsidRPr="00822697" w14:paraId="21403F67" w14:textId="77777777" w:rsidTr="00D34EA9">
        <w:tc>
          <w:tcPr>
            <w:tcW w:w="3438" w:type="dxa"/>
          </w:tcPr>
          <w:p w14:paraId="6418B211" w14:textId="77777777" w:rsidR="00455B7F" w:rsidRPr="00B25280" w:rsidRDefault="00455B7F" w:rsidP="00D34EA9">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227411BE" w14:textId="77777777" w:rsidR="00455B7F" w:rsidRPr="00B25280" w:rsidRDefault="00455B7F" w:rsidP="00D34EA9">
            <w:pPr>
              <w:rPr>
                <w:color w:val="808080" w:themeColor="background1" w:themeShade="80"/>
                <w:sz w:val="20"/>
                <w:szCs w:val="20"/>
              </w:rPr>
            </w:pPr>
          </w:p>
        </w:tc>
        <w:tc>
          <w:tcPr>
            <w:tcW w:w="3420" w:type="dxa"/>
          </w:tcPr>
          <w:p w14:paraId="59D95826" w14:textId="77777777" w:rsidR="00455B7F" w:rsidRPr="00B25280" w:rsidRDefault="00455B7F" w:rsidP="00D34EA9">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02179781" w14:textId="77777777" w:rsidR="00455B7F" w:rsidRPr="00B25280" w:rsidRDefault="00455B7F" w:rsidP="00D34EA9">
            <w:pPr>
              <w:rPr>
                <w:color w:val="808080" w:themeColor="background1" w:themeShade="80"/>
                <w:sz w:val="20"/>
                <w:szCs w:val="20"/>
              </w:rPr>
            </w:pPr>
          </w:p>
        </w:tc>
        <w:tc>
          <w:tcPr>
            <w:tcW w:w="3420" w:type="dxa"/>
          </w:tcPr>
          <w:p w14:paraId="5E1BE057" w14:textId="77777777" w:rsidR="00455B7F" w:rsidRPr="00B25280" w:rsidRDefault="00455B7F" w:rsidP="00D34EA9">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6E7A5773" w14:textId="77777777" w:rsidR="00455B7F" w:rsidRPr="00B25280" w:rsidRDefault="00455B7F" w:rsidP="00D34EA9">
            <w:pPr>
              <w:rPr>
                <w:rFonts w:cstheme="minorHAnsi"/>
                <w:color w:val="808080" w:themeColor="background1" w:themeShade="80"/>
                <w:sz w:val="20"/>
                <w:szCs w:val="20"/>
              </w:rPr>
            </w:pPr>
          </w:p>
        </w:tc>
        <w:tc>
          <w:tcPr>
            <w:tcW w:w="3150" w:type="dxa"/>
          </w:tcPr>
          <w:p w14:paraId="6679D28F" w14:textId="77777777" w:rsidR="00455B7F" w:rsidRPr="00B25280" w:rsidRDefault="00455B7F" w:rsidP="00D34EA9">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6A8F947C" w14:textId="77777777" w:rsidR="00455B7F" w:rsidRPr="00B25280" w:rsidRDefault="00455B7F" w:rsidP="00D34EA9">
            <w:pPr>
              <w:rPr>
                <w:color w:val="808080" w:themeColor="background1" w:themeShade="80"/>
                <w:sz w:val="20"/>
                <w:szCs w:val="20"/>
              </w:rPr>
            </w:pPr>
          </w:p>
        </w:tc>
      </w:tr>
      <w:tr w:rsidR="00455B7F" w:rsidRPr="00822697" w14:paraId="1851ADB9" w14:textId="77777777" w:rsidTr="00D34EA9">
        <w:trPr>
          <w:trHeight w:val="558"/>
        </w:trPr>
        <w:tc>
          <w:tcPr>
            <w:tcW w:w="13428" w:type="dxa"/>
            <w:gridSpan w:val="4"/>
          </w:tcPr>
          <w:p w14:paraId="38CD0A8A" w14:textId="77777777" w:rsidR="00455B7F" w:rsidRPr="00A52A9B" w:rsidRDefault="00455B7F" w:rsidP="00D34EA9">
            <w:pPr>
              <w:rPr>
                <w:bCs/>
                <w:sz w:val="20"/>
                <w:szCs w:val="20"/>
              </w:rPr>
            </w:pPr>
            <w:proofErr w:type="spellStart"/>
            <w:r w:rsidRPr="00A52A9B">
              <w:rPr>
                <w:bCs/>
                <w:sz w:val="20"/>
                <w:szCs w:val="20"/>
                <w:vertAlign w:val="superscript"/>
              </w:rPr>
              <w:t>a</w:t>
            </w:r>
            <w:r w:rsidRPr="00A52A9B">
              <w:rPr>
                <w:bCs/>
                <w:sz w:val="20"/>
                <w:szCs w:val="20"/>
              </w:rPr>
              <w:t>Obtain</w:t>
            </w:r>
            <w:proofErr w:type="spellEnd"/>
            <w:r w:rsidRPr="00A52A9B">
              <w:rPr>
                <w:bCs/>
                <w:sz w:val="20"/>
                <w:szCs w:val="20"/>
              </w:rPr>
              <w:t xml:space="preserve"> </w:t>
            </w:r>
            <w:proofErr w:type="spellStart"/>
            <w:r w:rsidRPr="00A52A9B">
              <w:rPr>
                <w:bCs/>
                <w:sz w:val="20"/>
                <w:szCs w:val="20"/>
              </w:rPr>
              <w:t>pretreatment</w:t>
            </w:r>
            <w:proofErr w:type="spellEnd"/>
            <w:r w:rsidRPr="00A52A9B">
              <w:rPr>
                <w:bCs/>
                <w:sz w:val="20"/>
                <w:szCs w:val="20"/>
              </w:rPr>
              <w:t xml:space="preserve"> Gram stain and culture of lower respiratory secretions, as well as blood cultures in patients who are being empirically treated for MRSA or </w:t>
            </w:r>
            <w:r w:rsidRPr="00A52A9B">
              <w:rPr>
                <w:bCs/>
                <w:i/>
                <w:iCs/>
                <w:sz w:val="20"/>
                <w:szCs w:val="20"/>
              </w:rPr>
              <w:t>P. aeruginosa</w:t>
            </w:r>
            <w:r w:rsidRPr="00A52A9B">
              <w:rPr>
                <w:bCs/>
                <w:sz w:val="20"/>
                <w:szCs w:val="20"/>
              </w:rPr>
              <w:t xml:space="preserve">; were previously infected with MRSA or </w:t>
            </w:r>
            <w:r w:rsidRPr="00A52A9B">
              <w:rPr>
                <w:bCs/>
                <w:i/>
                <w:iCs/>
                <w:sz w:val="20"/>
                <w:szCs w:val="20"/>
              </w:rPr>
              <w:t>P. aeruginosa</w:t>
            </w:r>
            <w:r w:rsidRPr="00A52A9B">
              <w:rPr>
                <w:bCs/>
                <w:sz w:val="20"/>
                <w:szCs w:val="20"/>
              </w:rPr>
              <w:t>; or were hospitalized and received parenteral antibiotics in the last 90 days.</w:t>
            </w:r>
          </w:p>
          <w:p w14:paraId="2D1A2BD9" w14:textId="77777777" w:rsidR="00455B7F" w:rsidRPr="00A52A9B" w:rsidRDefault="00455B7F" w:rsidP="00D34EA9">
            <w:pPr>
              <w:rPr>
                <w:bCs/>
                <w:sz w:val="20"/>
                <w:szCs w:val="20"/>
              </w:rPr>
            </w:pPr>
            <w:proofErr w:type="spellStart"/>
            <w:r w:rsidRPr="00A52A9B">
              <w:rPr>
                <w:bCs/>
                <w:sz w:val="20"/>
                <w:szCs w:val="20"/>
                <w:vertAlign w:val="superscript"/>
              </w:rPr>
              <w:t>b</w:t>
            </w:r>
            <w:r w:rsidRPr="00A52A9B">
              <w:rPr>
                <w:bCs/>
                <w:sz w:val="20"/>
                <w:szCs w:val="20"/>
              </w:rPr>
              <w:t>Initiate</w:t>
            </w:r>
            <w:proofErr w:type="spellEnd"/>
            <w:r w:rsidRPr="00A52A9B">
              <w:rPr>
                <w:bCs/>
                <w:sz w:val="20"/>
                <w:szCs w:val="20"/>
              </w:rPr>
              <w:t xml:space="preserve"> empiric antibiotic therapy in patients with clinically suspected and radiographically confirmed CAP regardless of initial serum procalcitonin level</w:t>
            </w:r>
          </w:p>
          <w:p w14:paraId="6010E3E5" w14:textId="77777777" w:rsidR="00455B7F" w:rsidRPr="00A52A9B" w:rsidRDefault="00455B7F" w:rsidP="00D34EA9">
            <w:pPr>
              <w:rPr>
                <w:bCs/>
                <w:sz w:val="20"/>
                <w:szCs w:val="20"/>
              </w:rPr>
            </w:pPr>
            <w:proofErr w:type="spellStart"/>
            <w:r w:rsidRPr="00A52A9B">
              <w:rPr>
                <w:bCs/>
                <w:sz w:val="20"/>
                <w:szCs w:val="20"/>
                <w:vertAlign w:val="superscript"/>
              </w:rPr>
              <w:t>c</w:t>
            </w:r>
            <w:r w:rsidRPr="00A52A9B">
              <w:rPr>
                <w:bCs/>
                <w:sz w:val="20"/>
                <w:szCs w:val="20"/>
              </w:rPr>
              <w:t>Cover</w:t>
            </w:r>
            <w:proofErr w:type="spellEnd"/>
            <w:r w:rsidRPr="00A52A9B">
              <w:rPr>
                <w:bCs/>
                <w:sz w:val="20"/>
                <w:szCs w:val="20"/>
              </w:rPr>
              <w:t xml:space="preserve"> for MRSA or </w:t>
            </w:r>
            <w:r w:rsidRPr="00A52A9B">
              <w:rPr>
                <w:bCs/>
                <w:i/>
                <w:iCs/>
                <w:sz w:val="20"/>
                <w:szCs w:val="20"/>
              </w:rPr>
              <w:t>P. aeruginosa</w:t>
            </w:r>
            <w:r w:rsidRPr="00A52A9B">
              <w:rPr>
                <w:bCs/>
                <w:sz w:val="20"/>
                <w:szCs w:val="20"/>
              </w:rPr>
              <w:t xml:space="preserve"> only if locally validated risk factors for either pathogen are present; if treating on the basis of published risk factors without local etiological data, continue empiric coverage while obtaining culture data to establish if these pathogens are present</w:t>
            </w:r>
          </w:p>
          <w:p w14:paraId="0303ADA6" w14:textId="77777777" w:rsidR="00455B7F" w:rsidRPr="00A52A9B" w:rsidRDefault="00455B7F" w:rsidP="00D34EA9">
            <w:pPr>
              <w:rPr>
                <w:bCs/>
                <w:sz w:val="20"/>
                <w:szCs w:val="20"/>
              </w:rPr>
            </w:pPr>
            <w:proofErr w:type="spellStart"/>
            <w:r w:rsidRPr="00A52A9B">
              <w:rPr>
                <w:bCs/>
                <w:sz w:val="20"/>
                <w:szCs w:val="20"/>
                <w:vertAlign w:val="superscript"/>
              </w:rPr>
              <w:t>d</w:t>
            </w:r>
            <w:r w:rsidRPr="00A52A9B">
              <w:rPr>
                <w:bCs/>
                <w:sz w:val="20"/>
                <w:szCs w:val="20"/>
              </w:rPr>
              <w:t>Obtain</w:t>
            </w:r>
            <w:proofErr w:type="spellEnd"/>
            <w:r w:rsidRPr="00A52A9B">
              <w:rPr>
                <w:bCs/>
                <w:sz w:val="20"/>
                <w:szCs w:val="20"/>
              </w:rPr>
              <w:t xml:space="preserve"> </w:t>
            </w:r>
            <w:proofErr w:type="spellStart"/>
            <w:r w:rsidRPr="00A52A9B">
              <w:rPr>
                <w:bCs/>
                <w:sz w:val="20"/>
                <w:szCs w:val="20"/>
              </w:rPr>
              <w:t>pretreatment</w:t>
            </w:r>
            <w:proofErr w:type="spellEnd"/>
            <w:r w:rsidRPr="00A52A9B">
              <w:rPr>
                <w:bCs/>
                <w:sz w:val="20"/>
                <w:szCs w:val="20"/>
              </w:rPr>
              <w:t xml:space="preserve"> Gram stain and culture of </w:t>
            </w:r>
            <w:r>
              <w:rPr>
                <w:bCs/>
                <w:sz w:val="20"/>
                <w:szCs w:val="20"/>
              </w:rPr>
              <w:t xml:space="preserve">lower </w:t>
            </w:r>
            <w:r w:rsidRPr="00A52A9B">
              <w:rPr>
                <w:bCs/>
                <w:sz w:val="20"/>
                <w:szCs w:val="20"/>
              </w:rPr>
              <w:t>respiratory secretion</w:t>
            </w:r>
            <w:r>
              <w:rPr>
                <w:bCs/>
                <w:sz w:val="20"/>
                <w:szCs w:val="20"/>
              </w:rPr>
              <w:t>s</w:t>
            </w:r>
            <w:r w:rsidRPr="00A52A9B">
              <w:rPr>
                <w:bCs/>
                <w:sz w:val="20"/>
                <w:szCs w:val="20"/>
              </w:rPr>
              <w:t xml:space="preserve">, as well as blood cultures </w:t>
            </w:r>
          </w:p>
          <w:p w14:paraId="3F296A88" w14:textId="77777777" w:rsidR="00455B7F" w:rsidRPr="00A52A9B" w:rsidRDefault="00455B7F" w:rsidP="00D34EA9">
            <w:pPr>
              <w:rPr>
                <w:bCs/>
                <w:sz w:val="20"/>
                <w:szCs w:val="20"/>
              </w:rPr>
            </w:pPr>
            <w:proofErr w:type="spellStart"/>
            <w:r w:rsidRPr="00A52A9B">
              <w:rPr>
                <w:bCs/>
                <w:sz w:val="20"/>
                <w:szCs w:val="20"/>
                <w:vertAlign w:val="superscript"/>
              </w:rPr>
              <w:t>e</w:t>
            </w:r>
            <w:r w:rsidRPr="00A52A9B">
              <w:rPr>
                <w:bCs/>
                <w:sz w:val="20"/>
                <w:szCs w:val="20"/>
              </w:rPr>
              <w:t>Use</w:t>
            </w:r>
            <w:proofErr w:type="spellEnd"/>
            <w:r w:rsidRPr="00A52A9B">
              <w:rPr>
                <w:bCs/>
                <w:sz w:val="20"/>
                <w:szCs w:val="20"/>
              </w:rPr>
              <w:t xml:space="preserve"> either the same agent or the same drug class</w:t>
            </w:r>
          </w:p>
          <w:p w14:paraId="32E8CA36" w14:textId="77777777" w:rsidR="00455B7F" w:rsidRPr="00A52A9B" w:rsidRDefault="00455B7F" w:rsidP="00D34EA9">
            <w:pPr>
              <w:rPr>
                <w:bCs/>
                <w:sz w:val="20"/>
                <w:szCs w:val="20"/>
              </w:rPr>
            </w:pPr>
            <w:proofErr w:type="spellStart"/>
            <w:r w:rsidRPr="00A52A9B">
              <w:rPr>
                <w:bCs/>
                <w:sz w:val="20"/>
                <w:szCs w:val="20"/>
                <w:vertAlign w:val="superscript"/>
              </w:rPr>
              <w:t>f</w:t>
            </w:r>
            <w:r w:rsidRPr="00A52A9B">
              <w:rPr>
                <w:bCs/>
                <w:sz w:val="20"/>
                <w:szCs w:val="20"/>
              </w:rPr>
              <w:t>Use</w:t>
            </w:r>
            <w:proofErr w:type="spellEnd"/>
            <w:r w:rsidRPr="00A52A9B">
              <w:rPr>
                <w:bCs/>
                <w:sz w:val="20"/>
                <w:szCs w:val="20"/>
              </w:rPr>
              <w:t xml:space="preserve"> a validated measure of clinical stability</w:t>
            </w:r>
            <w:r w:rsidRPr="00A52A9B">
              <w:rPr>
                <w:bCs/>
              </w:rPr>
              <w:t xml:space="preserve"> (</w:t>
            </w:r>
            <w:r w:rsidRPr="00A52A9B">
              <w:rPr>
                <w:bCs/>
                <w:sz w:val="20"/>
                <w:szCs w:val="20"/>
              </w:rPr>
              <w:t>resolution of vital sign abnormalities [heart rate, respiratory rate, blood pressure, oxygen saturation, and</w:t>
            </w:r>
          </w:p>
          <w:p w14:paraId="27A24C31" w14:textId="77777777" w:rsidR="00455B7F" w:rsidRPr="004D103D" w:rsidRDefault="00455B7F" w:rsidP="00D34EA9">
            <w:pPr>
              <w:rPr>
                <w:bCs/>
                <w:color w:val="0070C0"/>
                <w:sz w:val="20"/>
                <w:szCs w:val="20"/>
              </w:rPr>
            </w:pPr>
            <w:r w:rsidRPr="00A52A9B">
              <w:rPr>
                <w:bCs/>
                <w:sz w:val="20"/>
                <w:szCs w:val="20"/>
              </w:rPr>
              <w:t xml:space="preserve">temperature], ability to eat, and normal mentation) to guide duration of therapy, continuing antibiotic therapy until the patient achieves stability for </w:t>
            </w:r>
            <w:r w:rsidRPr="00A52A9B">
              <w:rPr>
                <w:rFonts w:cstheme="minorHAnsi"/>
                <w:bCs/>
                <w:sz w:val="20"/>
                <w:szCs w:val="20"/>
              </w:rPr>
              <w:t xml:space="preserve">≥ </w:t>
            </w:r>
            <w:r w:rsidRPr="00A52A9B">
              <w:rPr>
                <w:bCs/>
                <w:sz w:val="20"/>
                <w:szCs w:val="20"/>
              </w:rPr>
              <w:t xml:space="preserve">5 days or 7 days for MRSA or </w:t>
            </w:r>
            <w:r w:rsidRPr="00A52A9B">
              <w:rPr>
                <w:bCs/>
                <w:i/>
                <w:iCs/>
                <w:sz w:val="20"/>
                <w:szCs w:val="20"/>
              </w:rPr>
              <w:t>P. aeruginosa</w:t>
            </w:r>
          </w:p>
        </w:tc>
      </w:tr>
      <w:tr w:rsidR="00455B7F" w:rsidRPr="00822697" w14:paraId="699CE96C" w14:textId="77777777" w:rsidTr="00D34EA9">
        <w:trPr>
          <w:trHeight w:val="737"/>
        </w:trPr>
        <w:tc>
          <w:tcPr>
            <w:tcW w:w="13428" w:type="dxa"/>
            <w:gridSpan w:val="4"/>
          </w:tcPr>
          <w:p w14:paraId="10825559" w14:textId="77777777" w:rsidR="00455B7F" w:rsidRPr="00B94B11" w:rsidRDefault="00455B7F" w:rsidP="00D34EA9">
            <w:pPr>
              <w:rPr>
                <w:b/>
                <w:color w:val="FF0000"/>
                <w:sz w:val="20"/>
                <w:szCs w:val="20"/>
              </w:rPr>
            </w:pPr>
            <w:r>
              <w:rPr>
                <w:b/>
                <w:color w:val="FF0000"/>
                <w:sz w:val="20"/>
                <w:szCs w:val="20"/>
              </w:rPr>
              <w:t>*</w:t>
            </w:r>
            <w:r w:rsidRPr="00B94B11">
              <w:rPr>
                <w:b/>
                <w:color w:val="FF0000"/>
                <w:sz w:val="20"/>
                <w:szCs w:val="20"/>
              </w:rPr>
              <w:t>This is a template only. The table must be filled and adapted based on local/hospital patterns of resistance and antibiotic availability. Recommendations in the footnote are based on the IDSA/ATS treatment guidelines and s</w:t>
            </w:r>
            <w:r>
              <w:rPr>
                <w:b/>
                <w:color w:val="FF0000"/>
                <w:sz w:val="20"/>
                <w:szCs w:val="20"/>
              </w:rPr>
              <w:t>hould be adapted as appropriate</w:t>
            </w:r>
          </w:p>
          <w:p w14:paraId="7310E137" w14:textId="77777777" w:rsidR="00455B7F" w:rsidRPr="00DB3D92" w:rsidRDefault="00455B7F" w:rsidP="00D34EA9">
            <w:pPr>
              <w:pStyle w:val="ListParagraph"/>
              <w:numPr>
                <w:ilvl w:val="0"/>
                <w:numId w:val="6"/>
              </w:numPr>
              <w:rPr>
                <w:sz w:val="20"/>
                <w:szCs w:val="20"/>
              </w:rPr>
            </w:pPr>
            <w:r w:rsidRPr="00DB3D92">
              <w:rPr>
                <w:b/>
                <w:sz w:val="20"/>
                <w:szCs w:val="20"/>
              </w:rPr>
              <w:t xml:space="preserve">Refer to local guidelines if available. Online link to the IDSA/ATS CAP treatment guidelines: </w:t>
            </w:r>
            <w:r>
              <w:rPr>
                <w:sz w:val="20"/>
                <w:szCs w:val="20"/>
              </w:rPr>
              <w:t>w</w:t>
            </w:r>
            <w:r w:rsidRPr="00D233F5">
              <w:rPr>
                <w:sz w:val="20"/>
                <w:szCs w:val="20"/>
              </w:rPr>
              <w:t>ww.idsociety.org/practice-guideline/community-acquired-pneumonia-cap-in-adults/</w:t>
            </w:r>
          </w:p>
        </w:tc>
      </w:tr>
    </w:tbl>
    <w:p w14:paraId="43B3CA8C" w14:textId="77777777" w:rsidR="00455B7F" w:rsidRDefault="00455B7F" w:rsidP="00455B7F">
      <w:pPr>
        <w:rPr>
          <w:b/>
          <w:sz w:val="24"/>
          <w:szCs w:val="24"/>
          <w:lang w:eastAsia="en-US"/>
        </w:rPr>
      </w:pPr>
      <w:r w:rsidRPr="00822697">
        <w:rPr>
          <w:sz w:val="20"/>
          <w:szCs w:val="20"/>
          <w:lang w:eastAsia="en-US"/>
        </w:rPr>
        <w:t>ATS, American Thoracic Society</w:t>
      </w:r>
      <w:r w:rsidRPr="006C197E">
        <w:rPr>
          <w:sz w:val="20"/>
          <w:szCs w:val="24"/>
          <w:lang w:eastAsia="en-US"/>
        </w:rPr>
        <w:t>; ICU, intensive care unit; IDSA, Infectious Diseases Society of America; IV, intravenous</w:t>
      </w:r>
      <w:r>
        <w:rPr>
          <w:sz w:val="20"/>
          <w:szCs w:val="24"/>
          <w:lang w:eastAsia="en-US"/>
        </w:rPr>
        <w:t xml:space="preserve">; </w:t>
      </w:r>
      <w:r>
        <w:rPr>
          <w:sz w:val="20"/>
          <w:szCs w:val="20"/>
        </w:rPr>
        <w:t xml:space="preserve">MRSA, methicillin-resistant </w:t>
      </w:r>
      <w:r w:rsidRPr="009518D2">
        <w:rPr>
          <w:i/>
          <w:iCs/>
          <w:sz w:val="20"/>
          <w:szCs w:val="20"/>
        </w:rPr>
        <w:t>Staphylococcus aureus</w:t>
      </w:r>
      <w:r>
        <w:rPr>
          <w:sz w:val="20"/>
          <w:szCs w:val="20"/>
        </w:rPr>
        <w:t xml:space="preserve">; </w:t>
      </w:r>
      <w:r w:rsidRPr="00F35D35">
        <w:rPr>
          <w:i/>
          <w:iCs/>
          <w:sz w:val="20"/>
          <w:szCs w:val="20"/>
        </w:rPr>
        <w:t>P. aeruginosa</w:t>
      </w:r>
      <w:r>
        <w:rPr>
          <w:sz w:val="20"/>
          <w:szCs w:val="20"/>
        </w:rPr>
        <w:t xml:space="preserve">, </w:t>
      </w:r>
      <w:r w:rsidRPr="00F35D35">
        <w:rPr>
          <w:i/>
          <w:iCs/>
          <w:sz w:val="20"/>
          <w:szCs w:val="20"/>
        </w:rPr>
        <w:t>Pseudomonas aeruginosa</w:t>
      </w:r>
    </w:p>
    <w:p w14:paraId="6741379F" w14:textId="0E7DE965" w:rsidR="00DB4869" w:rsidRPr="00A03817" w:rsidRDefault="00455B7F" w:rsidP="00822697">
      <w:pPr>
        <w:rPr>
          <w:b/>
          <w:sz w:val="20"/>
          <w:szCs w:val="20"/>
          <w:lang w:eastAsia="en-US"/>
        </w:rPr>
      </w:pPr>
      <w:r w:rsidRPr="006C197E">
        <w:rPr>
          <w:b/>
          <w:sz w:val="20"/>
          <w:szCs w:val="24"/>
          <w:lang w:eastAsia="en-US"/>
        </w:rPr>
        <w:t>Reference:</w:t>
      </w:r>
      <w:r>
        <w:rPr>
          <w:sz w:val="20"/>
          <w:szCs w:val="24"/>
          <w:lang w:eastAsia="en-US"/>
        </w:rPr>
        <w:t xml:space="preserve"> </w:t>
      </w:r>
      <w:proofErr w:type="spellStart"/>
      <w:r>
        <w:rPr>
          <w:sz w:val="20"/>
          <w:szCs w:val="24"/>
          <w:lang w:eastAsia="en-US"/>
        </w:rPr>
        <w:t>Metlay</w:t>
      </w:r>
      <w:proofErr w:type="spellEnd"/>
      <w:r>
        <w:rPr>
          <w:sz w:val="20"/>
          <w:szCs w:val="24"/>
          <w:lang w:eastAsia="en-US"/>
        </w:rPr>
        <w:t xml:space="preserve"> JP, et al. </w:t>
      </w:r>
      <w:r w:rsidRPr="00AF09EE">
        <w:rPr>
          <w:sz w:val="20"/>
          <w:szCs w:val="24"/>
          <w:lang w:eastAsia="en-US"/>
        </w:rPr>
        <w:t xml:space="preserve">Diagnosis and </w:t>
      </w:r>
      <w:r>
        <w:rPr>
          <w:sz w:val="20"/>
          <w:szCs w:val="24"/>
          <w:lang w:eastAsia="en-US"/>
        </w:rPr>
        <w:t>t</w:t>
      </w:r>
      <w:r w:rsidRPr="00AF09EE">
        <w:rPr>
          <w:sz w:val="20"/>
          <w:szCs w:val="24"/>
          <w:lang w:eastAsia="en-US"/>
        </w:rPr>
        <w:t xml:space="preserve">reatment of </w:t>
      </w:r>
      <w:r>
        <w:rPr>
          <w:sz w:val="20"/>
          <w:szCs w:val="24"/>
          <w:lang w:eastAsia="en-US"/>
        </w:rPr>
        <w:t>a</w:t>
      </w:r>
      <w:r w:rsidRPr="00AF09EE">
        <w:rPr>
          <w:sz w:val="20"/>
          <w:szCs w:val="24"/>
          <w:lang w:eastAsia="en-US"/>
        </w:rPr>
        <w:t xml:space="preserve">dults with </w:t>
      </w:r>
      <w:r>
        <w:rPr>
          <w:sz w:val="20"/>
          <w:szCs w:val="24"/>
          <w:lang w:eastAsia="en-US"/>
        </w:rPr>
        <w:t>c</w:t>
      </w:r>
      <w:r w:rsidRPr="00AF09EE">
        <w:rPr>
          <w:sz w:val="20"/>
          <w:szCs w:val="24"/>
          <w:lang w:eastAsia="en-US"/>
        </w:rPr>
        <w:t xml:space="preserve">ommunity-acquired </w:t>
      </w:r>
      <w:r>
        <w:rPr>
          <w:sz w:val="20"/>
          <w:szCs w:val="24"/>
          <w:lang w:eastAsia="en-US"/>
        </w:rPr>
        <w:t>p</w:t>
      </w:r>
      <w:r w:rsidRPr="00AF09EE">
        <w:rPr>
          <w:sz w:val="20"/>
          <w:szCs w:val="24"/>
          <w:lang w:eastAsia="en-US"/>
        </w:rPr>
        <w:t xml:space="preserve">neumonia. An </w:t>
      </w:r>
      <w:r>
        <w:rPr>
          <w:sz w:val="20"/>
          <w:szCs w:val="24"/>
          <w:lang w:eastAsia="en-US"/>
        </w:rPr>
        <w:t>o</w:t>
      </w:r>
      <w:r w:rsidRPr="00AF09EE">
        <w:rPr>
          <w:sz w:val="20"/>
          <w:szCs w:val="24"/>
          <w:lang w:eastAsia="en-US"/>
        </w:rPr>
        <w:t xml:space="preserve">fficial </w:t>
      </w:r>
      <w:r>
        <w:rPr>
          <w:sz w:val="20"/>
          <w:szCs w:val="24"/>
          <w:lang w:eastAsia="en-US"/>
        </w:rPr>
        <w:t>c</w:t>
      </w:r>
      <w:r w:rsidRPr="00AF09EE">
        <w:rPr>
          <w:sz w:val="20"/>
          <w:szCs w:val="24"/>
          <w:lang w:eastAsia="en-US"/>
        </w:rPr>
        <w:t xml:space="preserve">linical </w:t>
      </w:r>
      <w:r>
        <w:rPr>
          <w:sz w:val="20"/>
          <w:szCs w:val="24"/>
          <w:lang w:eastAsia="en-US"/>
        </w:rPr>
        <w:t>p</w:t>
      </w:r>
      <w:r w:rsidRPr="00AF09EE">
        <w:rPr>
          <w:sz w:val="20"/>
          <w:szCs w:val="24"/>
          <w:lang w:eastAsia="en-US"/>
        </w:rPr>
        <w:t xml:space="preserve">ractice </w:t>
      </w:r>
      <w:r>
        <w:rPr>
          <w:sz w:val="20"/>
          <w:szCs w:val="24"/>
          <w:lang w:eastAsia="en-US"/>
        </w:rPr>
        <w:t>g</w:t>
      </w:r>
      <w:r w:rsidRPr="00AF09EE">
        <w:rPr>
          <w:sz w:val="20"/>
          <w:szCs w:val="24"/>
          <w:lang w:eastAsia="en-US"/>
        </w:rPr>
        <w:t>uideline of the American Thoracic Society and Infectious Diseases Society of America</w:t>
      </w:r>
      <w:r>
        <w:rPr>
          <w:sz w:val="20"/>
          <w:szCs w:val="24"/>
          <w:lang w:eastAsia="en-US"/>
        </w:rPr>
        <w:t xml:space="preserve">. </w:t>
      </w:r>
      <w:r w:rsidRPr="003D48A8">
        <w:rPr>
          <w:i/>
          <w:iCs/>
          <w:sz w:val="20"/>
          <w:szCs w:val="24"/>
          <w:lang w:eastAsia="en-US"/>
        </w:rPr>
        <w:t>Am J Respir Crit Care Med</w:t>
      </w:r>
      <w:r>
        <w:rPr>
          <w:sz w:val="20"/>
          <w:szCs w:val="24"/>
          <w:lang w:eastAsia="en-US"/>
        </w:rPr>
        <w:t xml:space="preserve"> </w:t>
      </w:r>
      <w:r w:rsidRPr="00DF792D">
        <w:rPr>
          <w:sz w:val="20"/>
          <w:szCs w:val="24"/>
          <w:lang w:eastAsia="en-US"/>
        </w:rPr>
        <w:t>2019;200:e45-e67.</w:t>
      </w:r>
    </w:p>
    <w:p w14:paraId="4BFFC9A5" w14:textId="77777777" w:rsidR="008276E1" w:rsidRDefault="00822697" w:rsidP="00822697">
      <w:pPr>
        <w:rPr>
          <w:b/>
          <w:sz w:val="24"/>
          <w:szCs w:val="24"/>
          <w:lang w:eastAsia="en-US"/>
        </w:rPr>
      </w:pPr>
      <w:r w:rsidRPr="00822697">
        <w:rPr>
          <w:b/>
          <w:sz w:val="24"/>
          <w:szCs w:val="24"/>
          <w:lang w:eastAsia="en-US"/>
        </w:rPr>
        <w:br w:type="page"/>
      </w:r>
      <w:r w:rsidR="008276E1">
        <w:rPr>
          <w:b/>
          <w:sz w:val="24"/>
          <w:szCs w:val="24"/>
          <w:lang w:eastAsia="en-US"/>
        </w:rPr>
        <w:lastRenderedPageBreak/>
        <w:t>Appendix 2</w:t>
      </w:r>
      <w:r w:rsidRPr="00822697">
        <w:rPr>
          <w:b/>
          <w:sz w:val="24"/>
          <w:szCs w:val="24"/>
          <w:lang w:eastAsia="en-US"/>
        </w:rPr>
        <w:t xml:space="preserve"> </w:t>
      </w:r>
    </w:p>
    <w:p w14:paraId="2EE79496" w14:textId="77777777" w:rsidR="00822697" w:rsidRPr="00822697" w:rsidRDefault="00822697" w:rsidP="00822697">
      <w:pPr>
        <w:rPr>
          <w:sz w:val="24"/>
          <w:szCs w:val="24"/>
          <w:lang w:eastAsia="en-US"/>
        </w:rPr>
      </w:pPr>
      <w:r w:rsidRPr="00822697">
        <w:rPr>
          <w:sz w:val="24"/>
          <w:szCs w:val="24"/>
          <w:lang w:eastAsia="en-US"/>
        </w:rPr>
        <w:t>Example template</w:t>
      </w:r>
      <w:r w:rsidRPr="00822697">
        <w:rPr>
          <w:sz w:val="24"/>
          <w:szCs w:val="24"/>
          <w:vertAlign w:val="superscript"/>
          <w:lang w:eastAsia="en-US"/>
        </w:rPr>
        <w:t>*</w:t>
      </w:r>
      <w:r w:rsidRPr="00822697">
        <w:rPr>
          <w:sz w:val="24"/>
          <w:szCs w:val="24"/>
          <w:lang w:eastAsia="en-US"/>
        </w:rPr>
        <w:t xml:space="preserve"> for the empiric treatment of hospital-acquired pneumonia and ventilator-associated pneumonia</w:t>
      </w:r>
    </w:p>
    <w:tbl>
      <w:tblPr>
        <w:tblStyle w:val="TableGrid1"/>
        <w:tblW w:w="13428" w:type="dxa"/>
        <w:tblLayout w:type="fixed"/>
        <w:tblLook w:val="04A0" w:firstRow="1" w:lastRow="0" w:firstColumn="1" w:lastColumn="0" w:noHBand="0" w:noVBand="1"/>
      </w:tblPr>
      <w:tblGrid>
        <w:gridCol w:w="2898"/>
        <w:gridCol w:w="2790"/>
        <w:gridCol w:w="2317"/>
        <w:gridCol w:w="2880"/>
        <w:gridCol w:w="2543"/>
      </w:tblGrid>
      <w:tr w:rsidR="00822697" w:rsidRPr="00822697" w14:paraId="6B480007" w14:textId="77777777" w:rsidTr="00665AE3">
        <w:trPr>
          <w:trHeight w:val="557"/>
        </w:trPr>
        <w:tc>
          <w:tcPr>
            <w:tcW w:w="13428" w:type="dxa"/>
            <w:gridSpan w:val="5"/>
          </w:tcPr>
          <w:p w14:paraId="053C0993" w14:textId="1156BBEF" w:rsidR="00822697" w:rsidRPr="00822697" w:rsidRDefault="00C856FB" w:rsidP="00822697">
            <w:pPr>
              <w:jc w:val="center"/>
              <w:rPr>
                <w:b/>
              </w:rPr>
            </w:pPr>
            <w:r>
              <w:rPr>
                <w:b/>
              </w:rPr>
              <w:t>Hospital-acquired pneumonia (HAP) and ventilator-associated p</w:t>
            </w:r>
            <w:r w:rsidR="00822697" w:rsidRPr="00822697">
              <w:rPr>
                <w:b/>
              </w:rPr>
              <w:t xml:space="preserve">neumonia (VAP) </w:t>
            </w:r>
          </w:p>
        </w:tc>
      </w:tr>
      <w:tr w:rsidR="00822697" w:rsidRPr="00822697" w14:paraId="2BA79A1F" w14:textId="77777777" w:rsidTr="00665AE3">
        <w:trPr>
          <w:trHeight w:val="593"/>
        </w:trPr>
        <w:tc>
          <w:tcPr>
            <w:tcW w:w="8005" w:type="dxa"/>
            <w:gridSpan w:val="3"/>
          </w:tcPr>
          <w:p w14:paraId="4435EC27" w14:textId="77777777" w:rsidR="00822697" w:rsidRPr="00822697" w:rsidRDefault="00822697" w:rsidP="00822697">
            <w:pPr>
              <w:jc w:val="center"/>
              <w:rPr>
                <w:b/>
              </w:rPr>
            </w:pPr>
            <w:r w:rsidRPr="00822697">
              <w:rPr>
                <w:b/>
              </w:rPr>
              <w:t>Choice for initial empiric treatment</w:t>
            </w:r>
          </w:p>
        </w:tc>
        <w:tc>
          <w:tcPr>
            <w:tcW w:w="2880" w:type="dxa"/>
            <w:vMerge w:val="restart"/>
          </w:tcPr>
          <w:p w14:paraId="63B16550" w14:textId="77777777" w:rsidR="00822697" w:rsidRPr="00822697" w:rsidRDefault="00822697" w:rsidP="00822697">
            <w:pPr>
              <w:rPr>
                <w:b/>
              </w:rPr>
            </w:pPr>
            <w:r w:rsidRPr="00822697">
              <w:rPr>
                <w:b/>
              </w:rPr>
              <w:t xml:space="preserve">Choice for oral treatment (conversion or </w:t>
            </w:r>
          </w:p>
          <w:p w14:paraId="2788A367" w14:textId="77777777" w:rsidR="00822697" w:rsidRPr="00822697" w:rsidRDefault="00822697" w:rsidP="00822697">
            <w:pPr>
              <w:rPr>
                <w:b/>
              </w:rPr>
            </w:pPr>
            <w:r w:rsidRPr="00822697">
              <w:rPr>
                <w:b/>
              </w:rPr>
              <w:t>de-escalation)</w:t>
            </w:r>
          </w:p>
        </w:tc>
        <w:tc>
          <w:tcPr>
            <w:tcW w:w="2543" w:type="dxa"/>
            <w:vMerge w:val="restart"/>
          </w:tcPr>
          <w:p w14:paraId="3FF16B21" w14:textId="77777777" w:rsidR="00822697" w:rsidRPr="00822697" w:rsidRDefault="00822697" w:rsidP="00822697">
            <w:pPr>
              <w:rPr>
                <w:b/>
              </w:rPr>
            </w:pPr>
            <w:r w:rsidRPr="00822697">
              <w:rPr>
                <w:b/>
              </w:rPr>
              <w:t xml:space="preserve">Total duration </w:t>
            </w:r>
          </w:p>
        </w:tc>
      </w:tr>
      <w:tr w:rsidR="00822697" w:rsidRPr="00822697" w14:paraId="480F6301" w14:textId="77777777" w:rsidTr="00665AE3">
        <w:trPr>
          <w:trHeight w:val="530"/>
        </w:trPr>
        <w:tc>
          <w:tcPr>
            <w:tcW w:w="5688" w:type="dxa"/>
            <w:gridSpan w:val="2"/>
          </w:tcPr>
          <w:p w14:paraId="57D05587" w14:textId="77777777" w:rsidR="00822697" w:rsidRPr="00822697" w:rsidRDefault="00822697" w:rsidP="00822697">
            <w:pPr>
              <w:jc w:val="center"/>
              <w:rPr>
                <w:b/>
              </w:rPr>
            </w:pPr>
            <w:proofErr w:type="spellStart"/>
            <w:r w:rsidRPr="00822697">
              <w:rPr>
                <w:b/>
              </w:rPr>
              <w:t>HAP</w:t>
            </w:r>
            <w:r w:rsidRPr="00822697">
              <w:rPr>
                <w:b/>
                <w:vertAlign w:val="superscript"/>
              </w:rPr>
              <w:t>a</w:t>
            </w:r>
            <w:proofErr w:type="spellEnd"/>
          </w:p>
        </w:tc>
        <w:tc>
          <w:tcPr>
            <w:tcW w:w="2317" w:type="dxa"/>
            <w:vMerge w:val="restart"/>
          </w:tcPr>
          <w:p w14:paraId="6E6DF3B5" w14:textId="499B6213" w:rsidR="00822697" w:rsidRPr="00822697" w:rsidRDefault="00822697" w:rsidP="00822697">
            <w:pPr>
              <w:rPr>
                <w:b/>
              </w:rPr>
            </w:pPr>
            <w:proofErr w:type="spellStart"/>
            <w:r w:rsidRPr="00822697">
              <w:rPr>
                <w:b/>
              </w:rPr>
              <w:t>VAP</w:t>
            </w:r>
            <w:r w:rsidRPr="00822697">
              <w:rPr>
                <w:b/>
                <w:vertAlign w:val="superscript"/>
              </w:rPr>
              <w:t>b,c</w:t>
            </w:r>
            <w:proofErr w:type="spellEnd"/>
          </w:p>
        </w:tc>
        <w:tc>
          <w:tcPr>
            <w:tcW w:w="2880" w:type="dxa"/>
            <w:vMerge/>
          </w:tcPr>
          <w:p w14:paraId="0B2B5487" w14:textId="77777777" w:rsidR="00822697" w:rsidRPr="00822697" w:rsidRDefault="00822697" w:rsidP="00822697">
            <w:pPr>
              <w:rPr>
                <w:b/>
              </w:rPr>
            </w:pPr>
          </w:p>
        </w:tc>
        <w:tc>
          <w:tcPr>
            <w:tcW w:w="2543" w:type="dxa"/>
            <w:vMerge/>
          </w:tcPr>
          <w:p w14:paraId="18567691" w14:textId="77777777" w:rsidR="00822697" w:rsidRPr="00822697" w:rsidRDefault="00822697" w:rsidP="00822697">
            <w:pPr>
              <w:rPr>
                <w:b/>
              </w:rPr>
            </w:pPr>
          </w:p>
        </w:tc>
      </w:tr>
      <w:tr w:rsidR="00822697" w:rsidRPr="00822697" w14:paraId="6B2D1729" w14:textId="77777777" w:rsidTr="00665AE3">
        <w:trPr>
          <w:trHeight w:val="485"/>
        </w:trPr>
        <w:tc>
          <w:tcPr>
            <w:tcW w:w="2898" w:type="dxa"/>
          </w:tcPr>
          <w:p w14:paraId="1155FE66" w14:textId="77777777" w:rsidR="00822697" w:rsidRPr="00822697" w:rsidRDefault="00822697" w:rsidP="00822697">
            <w:pPr>
              <w:contextualSpacing/>
              <w:rPr>
                <w:b/>
              </w:rPr>
            </w:pPr>
            <w:r w:rsidRPr="00822697">
              <w:rPr>
                <w:b/>
              </w:rPr>
              <w:t>No ventilatory support</w:t>
            </w:r>
          </w:p>
        </w:tc>
        <w:tc>
          <w:tcPr>
            <w:tcW w:w="2790" w:type="dxa"/>
          </w:tcPr>
          <w:p w14:paraId="2B0D4B26" w14:textId="77777777" w:rsidR="00822697" w:rsidRPr="00822697" w:rsidRDefault="00822697" w:rsidP="00822697">
            <w:pPr>
              <w:contextualSpacing/>
              <w:rPr>
                <w:b/>
              </w:rPr>
            </w:pPr>
            <w:r w:rsidRPr="00822697">
              <w:rPr>
                <w:b/>
              </w:rPr>
              <w:t>Ventilatory support</w:t>
            </w:r>
          </w:p>
        </w:tc>
        <w:tc>
          <w:tcPr>
            <w:tcW w:w="2317" w:type="dxa"/>
            <w:vMerge/>
          </w:tcPr>
          <w:p w14:paraId="3808BE35" w14:textId="77777777" w:rsidR="00822697" w:rsidRPr="00822697" w:rsidRDefault="00822697" w:rsidP="00822697">
            <w:pPr>
              <w:numPr>
                <w:ilvl w:val="0"/>
                <w:numId w:val="1"/>
              </w:numPr>
              <w:contextualSpacing/>
              <w:rPr>
                <w:rFonts w:cstheme="minorHAnsi"/>
              </w:rPr>
            </w:pPr>
          </w:p>
        </w:tc>
        <w:tc>
          <w:tcPr>
            <w:tcW w:w="2880" w:type="dxa"/>
            <w:vMerge/>
          </w:tcPr>
          <w:p w14:paraId="4275C315" w14:textId="77777777" w:rsidR="00822697" w:rsidRPr="00822697" w:rsidRDefault="00822697" w:rsidP="00822697">
            <w:pPr>
              <w:numPr>
                <w:ilvl w:val="0"/>
                <w:numId w:val="2"/>
              </w:numPr>
              <w:contextualSpacing/>
              <w:rPr>
                <w:rFonts w:cstheme="minorHAnsi"/>
              </w:rPr>
            </w:pPr>
          </w:p>
        </w:tc>
        <w:tc>
          <w:tcPr>
            <w:tcW w:w="2543" w:type="dxa"/>
            <w:vMerge/>
          </w:tcPr>
          <w:p w14:paraId="3AC9CF93" w14:textId="77777777" w:rsidR="00822697" w:rsidRPr="00822697" w:rsidRDefault="00822697" w:rsidP="00822697"/>
        </w:tc>
      </w:tr>
      <w:tr w:rsidR="00822697" w:rsidRPr="00822697" w14:paraId="14F46A2A" w14:textId="77777777" w:rsidTr="00665AE3">
        <w:tc>
          <w:tcPr>
            <w:tcW w:w="2898" w:type="dxa"/>
          </w:tcPr>
          <w:p w14:paraId="3BDE7B27" w14:textId="77777777" w:rsidR="00822697" w:rsidRPr="00B25280" w:rsidRDefault="00822697" w:rsidP="00822697">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6127595D" w14:textId="77777777" w:rsidR="00822697" w:rsidRPr="00B25280" w:rsidRDefault="00822697" w:rsidP="00822697">
            <w:pPr>
              <w:contextualSpacing/>
              <w:rPr>
                <w:color w:val="808080" w:themeColor="background1" w:themeShade="80"/>
                <w:sz w:val="20"/>
                <w:szCs w:val="20"/>
              </w:rPr>
            </w:pPr>
          </w:p>
        </w:tc>
        <w:tc>
          <w:tcPr>
            <w:tcW w:w="2790" w:type="dxa"/>
          </w:tcPr>
          <w:p w14:paraId="3D9C2897" w14:textId="77777777" w:rsidR="00822697" w:rsidRPr="00B25280" w:rsidRDefault="00822697" w:rsidP="00822697">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2ACE0099" w14:textId="77777777" w:rsidR="00822697" w:rsidRPr="00B25280" w:rsidRDefault="00822697" w:rsidP="00822697">
            <w:pPr>
              <w:contextualSpacing/>
              <w:rPr>
                <w:color w:val="808080" w:themeColor="background1" w:themeShade="80"/>
                <w:sz w:val="20"/>
                <w:szCs w:val="20"/>
              </w:rPr>
            </w:pPr>
          </w:p>
        </w:tc>
        <w:tc>
          <w:tcPr>
            <w:tcW w:w="2317" w:type="dxa"/>
          </w:tcPr>
          <w:p w14:paraId="3BF9BBF5" w14:textId="77777777" w:rsidR="00822697" w:rsidRPr="00B25280" w:rsidRDefault="00822697" w:rsidP="00822697">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76AC7FB1" w14:textId="77777777" w:rsidR="00822697" w:rsidRPr="00B25280" w:rsidRDefault="00822697" w:rsidP="00822697">
            <w:pPr>
              <w:rPr>
                <w:color w:val="808080" w:themeColor="background1" w:themeShade="80"/>
                <w:sz w:val="20"/>
                <w:szCs w:val="20"/>
              </w:rPr>
            </w:pPr>
          </w:p>
        </w:tc>
        <w:tc>
          <w:tcPr>
            <w:tcW w:w="2880" w:type="dxa"/>
          </w:tcPr>
          <w:p w14:paraId="52AB9366" w14:textId="77777777" w:rsidR="00822697" w:rsidRPr="00B25280" w:rsidRDefault="00822697" w:rsidP="00822697">
            <w:pPr>
              <w:contextualSpacing/>
              <w:rPr>
                <w:rFonts w:cstheme="minorHAnsi"/>
                <w:color w:val="808080" w:themeColor="background1" w:themeShade="80"/>
                <w:sz w:val="20"/>
                <w:szCs w:val="20"/>
              </w:rPr>
            </w:pPr>
            <w:r w:rsidRPr="00B25280">
              <w:rPr>
                <w:rFonts w:cstheme="minorHAnsi"/>
                <w:color w:val="808080" w:themeColor="background1" w:themeShade="80"/>
                <w:sz w:val="20"/>
                <w:szCs w:val="20"/>
              </w:rPr>
              <w:t xml:space="preserve"> </w:t>
            </w:r>
            <w:r w:rsidRPr="00B25280">
              <w:rPr>
                <w:i/>
                <w:color w:val="808080" w:themeColor="background1" w:themeShade="80"/>
                <w:sz w:val="20"/>
                <w:szCs w:val="20"/>
              </w:rPr>
              <w:t>[To be filled based on local patterns of resistance and antibiotic availability]</w:t>
            </w:r>
          </w:p>
          <w:p w14:paraId="1B4291B0" w14:textId="77777777" w:rsidR="00822697" w:rsidRPr="00B25280" w:rsidRDefault="00822697" w:rsidP="00822697">
            <w:pPr>
              <w:rPr>
                <w:rFonts w:cstheme="minorHAnsi"/>
                <w:color w:val="808080" w:themeColor="background1" w:themeShade="80"/>
                <w:sz w:val="20"/>
                <w:szCs w:val="20"/>
              </w:rPr>
            </w:pPr>
          </w:p>
        </w:tc>
        <w:tc>
          <w:tcPr>
            <w:tcW w:w="2543" w:type="dxa"/>
          </w:tcPr>
          <w:p w14:paraId="63DBDA69" w14:textId="77777777" w:rsidR="00822697" w:rsidRPr="00B25280" w:rsidRDefault="00822697" w:rsidP="00822697">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0456E74F" w14:textId="77777777" w:rsidR="00822697" w:rsidRPr="00B25280" w:rsidRDefault="00822697" w:rsidP="00822697">
            <w:pPr>
              <w:rPr>
                <w:color w:val="808080" w:themeColor="background1" w:themeShade="80"/>
                <w:sz w:val="20"/>
                <w:szCs w:val="20"/>
              </w:rPr>
            </w:pPr>
          </w:p>
        </w:tc>
      </w:tr>
      <w:tr w:rsidR="00822697" w:rsidRPr="00822697" w14:paraId="3CD727F0" w14:textId="77777777" w:rsidTr="00665AE3">
        <w:tc>
          <w:tcPr>
            <w:tcW w:w="13428" w:type="dxa"/>
            <w:gridSpan w:val="5"/>
          </w:tcPr>
          <w:p w14:paraId="7F998407" w14:textId="26018045" w:rsidR="00822697" w:rsidRPr="00822697" w:rsidRDefault="00822697" w:rsidP="00822697">
            <w:pPr>
              <w:rPr>
                <w:sz w:val="20"/>
                <w:szCs w:val="20"/>
              </w:rPr>
            </w:pPr>
            <w:proofErr w:type="spellStart"/>
            <w:r w:rsidRPr="00822697">
              <w:rPr>
                <w:sz w:val="20"/>
                <w:szCs w:val="20"/>
                <w:vertAlign w:val="superscript"/>
              </w:rPr>
              <w:t>a</w:t>
            </w:r>
            <w:r w:rsidRPr="00822697">
              <w:rPr>
                <w:sz w:val="20"/>
                <w:szCs w:val="20"/>
              </w:rPr>
              <w:t>Pneumonia</w:t>
            </w:r>
            <w:proofErr w:type="spellEnd"/>
            <w:r w:rsidRPr="00822697">
              <w:rPr>
                <w:sz w:val="20"/>
                <w:szCs w:val="20"/>
              </w:rPr>
              <w:t xml:space="preserve"> not incubating at the time of hospital admission and occurring ≥48</w:t>
            </w:r>
            <w:r w:rsidR="00A85FF6">
              <w:rPr>
                <w:sz w:val="20"/>
                <w:szCs w:val="20"/>
              </w:rPr>
              <w:t xml:space="preserve"> </w:t>
            </w:r>
            <w:r w:rsidRPr="00822697">
              <w:rPr>
                <w:sz w:val="20"/>
                <w:szCs w:val="20"/>
              </w:rPr>
              <w:t>h</w:t>
            </w:r>
            <w:r w:rsidR="00A85FF6">
              <w:rPr>
                <w:sz w:val="20"/>
                <w:szCs w:val="20"/>
              </w:rPr>
              <w:t>ours</w:t>
            </w:r>
            <w:r w:rsidRPr="00822697">
              <w:rPr>
                <w:sz w:val="20"/>
                <w:szCs w:val="20"/>
              </w:rPr>
              <w:t xml:space="preserve"> after admission</w:t>
            </w:r>
          </w:p>
          <w:p w14:paraId="3F6AF847" w14:textId="7B86D839" w:rsidR="00822697" w:rsidRPr="00822697" w:rsidRDefault="00822697" w:rsidP="00822697">
            <w:pPr>
              <w:rPr>
                <w:sz w:val="20"/>
                <w:szCs w:val="20"/>
              </w:rPr>
            </w:pPr>
            <w:proofErr w:type="spellStart"/>
            <w:r w:rsidRPr="00822697">
              <w:rPr>
                <w:b/>
                <w:sz w:val="20"/>
                <w:szCs w:val="20"/>
                <w:vertAlign w:val="superscript"/>
              </w:rPr>
              <w:t>b</w:t>
            </w:r>
            <w:r w:rsidRPr="00822697">
              <w:rPr>
                <w:sz w:val="20"/>
                <w:szCs w:val="20"/>
              </w:rPr>
              <w:t>Pneumonia</w:t>
            </w:r>
            <w:proofErr w:type="spellEnd"/>
            <w:r w:rsidRPr="00822697">
              <w:rPr>
                <w:sz w:val="20"/>
                <w:szCs w:val="20"/>
              </w:rPr>
              <w:t xml:space="preserve"> occurring &gt;48</w:t>
            </w:r>
            <w:r w:rsidR="00A85FF6">
              <w:rPr>
                <w:sz w:val="20"/>
                <w:szCs w:val="20"/>
              </w:rPr>
              <w:t xml:space="preserve"> </w:t>
            </w:r>
            <w:r w:rsidRPr="00822697">
              <w:rPr>
                <w:sz w:val="20"/>
                <w:szCs w:val="20"/>
              </w:rPr>
              <w:t>h</w:t>
            </w:r>
            <w:r w:rsidR="00A85FF6">
              <w:rPr>
                <w:sz w:val="20"/>
                <w:szCs w:val="20"/>
              </w:rPr>
              <w:t>ours</w:t>
            </w:r>
            <w:r w:rsidRPr="00822697">
              <w:rPr>
                <w:sz w:val="20"/>
                <w:szCs w:val="20"/>
              </w:rPr>
              <w:t xml:space="preserve"> after endotracheal intubation</w:t>
            </w:r>
          </w:p>
          <w:p w14:paraId="05C39FD3" w14:textId="7FC55EDD" w:rsidR="00822697" w:rsidRPr="00822697" w:rsidRDefault="00822697" w:rsidP="00822697">
            <w:pPr>
              <w:rPr>
                <w:sz w:val="20"/>
                <w:szCs w:val="20"/>
              </w:rPr>
            </w:pPr>
            <w:proofErr w:type="spellStart"/>
            <w:r w:rsidRPr="00822697">
              <w:rPr>
                <w:b/>
                <w:sz w:val="20"/>
                <w:szCs w:val="20"/>
                <w:vertAlign w:val="superscript"/>
              </w:rPr>
              <w:t>c</w:t>
            </w:r>
            <w:r w:rsidRPr="00822697">
              <w:rPr>
                <w:sz w:val="20"/>
                <w:szCs w:val="20"/>
              </w:rPr>
              <w:t>Suggest</w:t>
            </w:r>
            <w:proofErr w:type="spellEnd"/>
            <w:r w:rsidRPr="00822697">
              <w:rPr>
                <w:sz w:val="20"/>
                <w:szCs w:val="20"/>
              </w:rPr>
              <w:t xml:space="preserve"> including two antipseudomonal antibiotics from different classes only when risk factors for antimicrobial resistance are present (eg, prior IV antibiotic use within 90 days, septic shock at the time of VAP, ≥5 days of hospitalization before VAP), p</w:t>
            </w:r>
            <w:r w:rsidR="00B94B11">
              <w:rPr>
                <w:sz w:val="20"/>
                <w:szCs w:val="20"/>
              </w:rPr>
              <w:t>atients in units where &gt;10% of G</w:t>
            </w:r>
            <w:r w:rsidRPr="00822697">
              <w:rPr>
                <w:sz w:val="20"/>
                <w:szCs w:val="20"/>
              </w:rPr>
              <w:t>ram-negative isolates are resistant to the agent being considered for monotherapy, and patients in an ICU where local antimicrobial susceptibility is not known</w:t>
            </w:r>
          </w:p>
        </w:tc>
      </w:tr>
      <w:tr w:rsidR="00822697" w:rsidRPr="00822697" w14:paraId="40E81024" w14:textId="77777777" w:rsidTr="00665AE3">
        <w:tc>
          <w:tcPr>
            <w:tcW w:w="13428" w:type="dxa"/>
            <w:gridSpan w:val="5"/>
          </w:tcPr>
          <w:p w14:paraId="2523E434" w14:textId="7B6C9B47" w:rsidR="00822697" w:rsidRPr="000357B8" w:rsidRDefault="000357B8" w:rsidP="000357B8">
            <w:pPr>
              <w:rPr>
                <w:b/>
                <w:color w:val="FF0000"/>
                <w:sz w:val="20"/>
                <w:szCs w:val="20"/>
              </w:rPr>
            </w:pPr>
            <w:r>
              <w:rPr>
                <w:b/>
                <w:color w:val="FF0000"/>
                <w:sz w:val="20"/>
                <w:szCs w:val="20"/>
              </w:rPr>
              <w:t>*</w:t>
            </w:r>
            <w:r w:rsidR="00822697" w:rsidRPr="000357B8">
              <w:rPr>
                <w:b/>
                <w:color w:val="FF0000"/>
                <w:sz w:val="20"/>
                <w:szCs w:val="20"/>
              </w:rPr>
              <w:t>This is a template only. The table must be filled and adapted based on local</w:t>
            </w:r>
            <w:r w:rsidR="00600C74" w:rsidRPr="000357B8">
              <w:rPr>
                <w:b/>
                <w:color w:val="FF0000"/>
                <w:sz w:val="20"/>
                <w:szCs w:val="20"/>
              </w:rPr>
              <w:t>/hospital</w:t>
            </w:r>
            <w:r w:rsidR="00822697" w:rsidRPr="000357B8">
              <w:rPr>
                <w:b/>
                <w:color w:val="FF0000"/>
                <w:sz w:val="20"/>
                <w:szCs w:val="20"/>
              </w:rPr>
              <w:t xml:space="preserve"> patterns of resistance and antibiotic availability.</w:t>
            </w:r>
            <w:r w:rsidR="00822697" w:rsidRPr="000357B8">
              <w:rPr>
                <w:b/>
                <w:color w:val="FF0000"/>
              </w:rPr>
              <w:t xml:space="preserve"> </w:t>
            </w:r>
            <w:r w:rsidR="00822697" w:rsidRPr="000357B8">
              <w:rPr>
                <w:b/>
                <w:color w:val="FF0000"/>
                <w:sz w:val="20"/>
                <w:szCs w:val="20"/>
              </w:rPr>
              <w:t>Recommendations in the footnote are based on the IDSA/ATS treatment guidelines and s</w:t>
            </w:r>
            <w:r w:rsidR="00B94B11">
              <w:rPr>
                <w:b/>
                <w:color w:val="FF0000"/>
                <w:sz w:val="20"/>
                <w:szCs w:val="20"/>
              </w:rPr>
              <w:t>hould be adapted as appropriate</w:t>
            </w:r>
          </w:p>
          <w:p w14:paraId="6CF65357" w14:textId="7E3EE155" w:rsidR="00822697" w:rsidRPr="00DB3D92" w:rsidRDefault="00822697" w:rsidP="00DB3D92">
            <w:pPr>
              <w:pStyle w:val="ListParagraph"/>
              <w:numPr>
                <w:ilvl w:val="0"/>
                <w:numId w:val="5"/>
              </w:numPr>
              <w:rPr>
                <w:sz w:val="20"/>
                <w:szCs w:val="20"/>
              </w:rPr>
            </w:pPr>
            <w:r w:rsidRPr="00DB3D92">
              <w:rPr>
                <w:b/>
                <w:sz w:val="20"/>
                <w:szCs w:val="20"/>
              </w:rPr>
              <w:t xml:space="preserve">Refer to local guidelines if available. Online link to the IDSA/ATS CAP treatment guidelines: </w:t>
            </w:r>
            <w:r w:rsidR="00A03817" w:rsidRPr="00A03817">
              <w:rPr>
                <w:sz w:val="20"/>
                <w:szCs w:val="20"/>
              </w:rPr>
              <w:t>www.idsociety.org/practice-guideline/hap_vap/</w:t>
            </w:r>
          </w:p>
        </w:tc>
      </w:tr>
    </w:tbl>
    <w:p w14:paraId="46C8FAE3" w14:textId="0681FB75" w:rsidR="006C197E" w:rsidRDefault="00822697" w:rsidP="00822697">
      <w:pPr>
        <w:spacing w:after="0" w:line="240" w:lineRule="auto"/>
        <w:rPr>
          <w:sz w:val="20"/>
          <w:szCs w:val="20"/>
          <w:lang w:eastAsia="en-US"/>
        </w:rPr>
      </w:pPr>
      <w:r w:rsidRPr="00822697">
        <w:rPr>
          <w:sz w:val="20"/>
          <w:szCs w:val="20"/>
          <w:lang w:eastAsia="en-US"/>
        </w:rPr>
        <w:t>ATS, American Thoracic Society</w:t>
      </w:r>
      <w:r w:rsidR="006C197E">
        <w:rPr>
          <w:sz w:val="20"/>
          <w:szCs w:val="20"/>
          <w:lang w:eastAsia="en-US"/>
        </w:rPr>
        <w:t xml:space="preserve">; </w:t>
      </w:r>
      <w:r w:rsidR="006C197E" w:rsidRPr="006C197E">
        <w:rPr>
          <w:sz w:val="20"/>
          <w:szCs w:val="20"/>
          <w:lang w:eastAsia="en-US"/>
        </w:rPr>
        <w:t>IDSA, Infectious Diseases Society of America; IV, intravenous</w:t>
      </w:r>
    </w:p>
    <w:p w14:paraId="5DB339F1" w14:textId="77777777" w:rsidR="00DB4869" w:rsidRPr="006C197E" w:rsidRDefault="00DB4869" w:rsidP="00822697">
      <w:pPr>
        <w:spacing w:after="0" w:line="240" w:lineRule="auto"/>
        <w:rPr>
          <w:sz w:val="16"/>
          <w:szCs w:val="20"/>
          <w:lang w:eastAsia="en-US"/>
        </w:rPr>
      </w:pPr>
    </w:p>
    <w:p w14:paraId="3FC2B921" w14:textId="40077B87" w:rsidR="00DB4869" w:rsidRPr="006C197E" w:rsidRDefault="00DB4869" w:rsidP="00DB4869">
      <w:pPr>
        <w:spacing w:after="0" w:line="240" w:lineRule="auto"/>
        <w:rPr>
          <w:sz w:val="20"/>
          <w:szCs w:val="24"/>
          <w:lang w:eastAsia="en-US"/>
        </w:rPr>
        <w:sectPr w:rsidR="00DB4869" w:rsidRPr="006C197E" w:rsidSect="00CA0294">
          <w:pgSz w:w="16838" w:h="11906" w:orient="landscape"/>
          <w:pgMar w:top="1440" w:right="1440" w:bottom="1440" w:left="1440" w:header="706" w:footer="706" w:gutter="0"/>
          <w:cols w:space="708"/>
          <w:docGrid w:linePitch="360"/>
        </w:sectPr>
      </w:pPr>
      <w:r w:rsidRPr="006C197E">
        <w:rPr>
          <w:b/>
          <w:sz w:val="20"/>
          <w:szCs w:val="24"/>
          <w:lang w:eastAsia="en-US"/>
        </w:rPr>
        <w:t>Reference:</w:t>
      </w:r>
      <w:r w:rsidRPr="006C197E">
        <w:rPr>
          <w:sz w:val="18"/>
        </w:rPr>
        <w:t xml:space="preserve"> </w:t>
      </w:r>
      <w:r w:rsidR="00536604" w:rsidRPr="006C197E">
        <w:rPr>
          <w:sz w:val="20"/>
          <w:szCs w:val="24"/>
          <w:lang w:eastAsia="en-US"/>
        </w:rPr>
        <w:t>Kalil AC, et al. Management of a</w:t>
      </w:r>
      <w:r w:rsidRPr="006C197E">
        <w:rPr>
          <w:sz w:val="20"/>
          <w:szCs w:val="24"/>
          <w:lang w:eastAsia="en-US"/>
        </w:rPr>
        <w:t>dults with hospital-acqu</w:t>
      </w:r>
      <w:r w:rsidR="00536604" w:rsidRPr="006C197E">
        <w:rPr>
          <w:sz w:val="20"/>
          <w:szCs w:val="24"/>
          <w:lang w:eastAsia="en-US"/>
        </w:rPr>
        <w:t>ired and ventilator-associated p</w:t>
      </w:r>
      <w:r w:rsidRPr="006C197E">
        <w:rPr>
          <w:sz w:val="20"/>
          <w:szCs w:val="24"/>
          <w:lang w:eastAsia="en-US"/>
        </w:rPr>
        <w:t xml:space="preserve">neumonia: 2016 clinical practice guidelines by the Infectious Diseases Society of America and the American Thoracic Society. </w:t>
      </w:r>
      <w:r w:rsidRPr="006C197E">
        <w:rPr>
          <w:i/>
          <w:sz w:val="20"/>
          <w:szCs w:val="24"/>
          <w:lang w:eastAsia="en-US"/>
        </w:rPr>
        <w:t>Clin Infect Dis</w:t>
      </w:r>
      <w:r w:rsidRPr="006C197E">
        <w:rPr>
          <w:sz w:val="20"/>
          <w:szCs w:val="24"/>
          <w:lang w:eastAsia="en-US"/>
        </w:rPr>
        <w:t xml:space="preserve"> 2016;63:e61-e111.</w:t>
      </w:r>
    </w:p>
    <w:p w14:paraId="2C44F404" w14:textId="77777777" w:rsidR="008276E1" w:rsidRDefault="008276E1" w:rsidP="00822697">
      <w:pPr>
        <w:spacing w:after="0" w:line="240" w:lineRule="auto"/>
        <w:rPr>
          <w:sz w:val="24"/>
          <w:szCs w:val="24"/>
          <w:lang w:eastAsia="en-US"/>
        </w:rPr>
      </w:pPr>
      <w:r>
        <w:rPr>
          <w:b/>
          <w:sz w:val="24"/>
          <w:szCs w:val="24"/>
          <w:lang w:eastAsia="en-US"/>
        </w:rPr>
        <w:lastRenderedPageBreak/>
        <w:t>Appendix 3</w:t>
      </w:r>
      <w:r w:rsidR="00822697" w:rsidRPr="00822697">
        <w:rPr>
          <w:sz w:val="24"/>
          <w:szCs w:val="24"/>
          <w:lang w:eastAsia="en-US"/>
        </w:rPr>
        <w:t xml:space="preserve"> </w:t>
      </w:r>
    </w:p>
    <w:p w14:paraId="6C520CCD" w14:textId="77777777" w:rsidR="008276E1" w:rsidRDefault="008276E1" w:rsidP="00822697">
      <w:pPr>
        <w:spacing w:after="0" w:line="240" w:lineRule="auto"/>
        <w:rPr>
          <w:sz w:val="24"/>
          <w:szCs w:val="24"/>
          <w:lang w:eastAsia="en-US"/>
        </w:rPr>
      </w:pPr>
    </w:p>
    <w:p w14:paraId="22C1FC07" w14:textId="77777777" w:rsidR="00822697" w:rsidRPr="00822697" w:rsidRDefault="00822697" w:rsidP="00822697">
      <w:pPr>
        <w:spacing w:after="0" w:line="240" w:lineRule="auto"/>
        <w:rPr>
          <w:sz w:val="24"/>
          <w:szCs w:val="24"/>
          <w:lang w:eastAsia="en-US"/>
        </w:rPr>
      </w:pPr>
      <w:r w:rsidRPr="00822697">
        <w:rPr>
          <w:sz w:val="24"/>
          <w:szCs w:val="24"/>
          <w:lang w:eastAsia="en-US"/>
        </w:rPr>
        <w:t>Example template</w:t>
      </w:r>
      <w:r w:rsidRPr="00822697">
        <w:rPr>
          <w:sz w:val="24"/>
          <w:szCs w:val="24"/>
          <w:vertAlign w:val="superscript"/>
          <w:lang w:eastAsia="en-US"/>
        </w:rPr>
        <w:t>*</w:t>
      </w:r>
      <w:r w:rsidRPr="00822697">
        <w:rPr>
          <w:sz w:val="24"/>
          <w:szCs w:val="24"/>
          <w:lang w:eastAsia="en-US"/>
        </w:rPr>
        <w:t xml:space="preserve"> for the empiric treatment of patients hospitalized with skin and soft tissue infections</w:t>
      </w:r>
    </w:p>
    <w:p w14:paraId="06EE4D39" w14:textId="77777777" w:rsidR="00822697" w:rsidRPr="00822697" w:rsidRDefault="00822697" w:rsidP="00822697">
      <w:pPr>
        <w:spacing w:after="0" w:line="240" w:lineRule="auto"/>
        <w:rPr>
          <w:sz w:val="24"/>
          <w:szCs w:val="24"/>
          <w:lang w:eastAsia="en-US"/>
        </w:rPr>
      </w:pPr>
    </w:p>
    <w:tbl>
      <w:tblPr>
        <w:tblStyle w:val="TableGrid"/>
        <w:tblW w:w="13428" w:type="dxa"/>
        <w:tblLayout w:type="fixed"/>
        <w:tblLook w:val="04A0" w:firstRow="1" w:lastRow="0" w:firstColumn="1" w:lastColumn="0" w:noHBand="0" w:noVBand="1"/>
      </w:tblPr>
      <w:tblGrid>
        <w:gridCol w:w="1518"/>
        <w:gridCol w:w="1518"/>
        <w:gridCol w:w="2359"/>
        <w:gridCol w:w="2070"/>
        <w:gridCol w:w="1823"/>
        <w:gridCol w:w="1380"/>
        <w:gridCol w:w="1380"/>
        <w:gridCol w:w="1380"/>
      </w:tblGrid>
      <w:tr w:rsidR="00822697" w:rsidRPr="00822697" w14:paraId="3D1CA304" w14:textId="77777777" w:rsidTr="002E2780">
        <w:tc>
          <w:tcPr>
            <w:tcW w:w="13428" w:type="dxa"/>
            <w:gridSpan w:val="8"/>
          </w:tcPr>
          <w:p w14:paraId="7F152B6A" w14:textId="77777777" w:rsidR="00822697" w:rsidRPr="00822697" w:rsidRDefault="00822697" w:rsidP="00822697">
            <w:pPr>
              <w:jc w:val="center"/>
              <w:rPr>
                <w:b/>
              </w:rPr>
            </w:pPr>
            <w:r w:rsidRPr="00822697">
              <w:rPr>
                <w:b/>
              </w:rPr>
              <w:t>Hospitalized skin and soft tissue infections (SSTIs)</w:t>
            </w:r>
          </w:p>
          <w:p w14:paraId="6A2F8C0C" w14:textId="77777777" w:rsidR="00822697" w:rsidRPr="00822697" w:rsidRDefault="00822697" w:rsidP="00822697">
            <w:pPr>
              <w:jc w:val="center"/>
              <w:rPr>
                <w:b/>
              </w:rPr>
            </w:pPr>
          </w:p>
        </w:tc>
      </w:tr>
      <w:tr w:rsidR="00822697" w:rsidRPr="00822697" w14:paraId="7C0D9AF4" w14:textId="77777777" w:rsidTr="002E2780">
        <w:tc>
          <w:tcPr>
            <w:tcW w:w="9288" w:type="dxa"/>
            <w:gridSpan w:val="5"/>
          </w:tcPr>
          <w:p w14:paraId="0EA6B78F" w14:textId="77777777" w:rsidR="00822697" w:rsidRPr="00822697" w:rsidRDefault="00822697" w:rsidP="00822697">
            <w:pPr>
              <w:jc w:val="center"/>
              <w:rPr>
                <w:b/>
              </w:rPr>
            </w:pPr>
            <w:r w:rsidRPr="00822697">
              <w:rPr>
                <w:b/>
              </w:rPr>
              <w:t>Choice for initial empiric IV treatment</w:t>
            </w:r>
          </w:p>
          <w:p w14:paraId="2CDC9A07" w14:textId="77777777" w:rsidR="00822697" w:rsidRPr="00822697" w:rsidRDefault="00822697" w:rsidP="00822697">
            <w:pPr>
              <w:rPr>
                <w:b/>
              </w:rPr>
            </w:pPr>
          </w:p>
        </w:tc>
        <w:tc>
          <w:tcPr>
            <w:tcW w:w="4140" w:type="dxa"/>
            <w:gridSpan w:val="3"/>
            <w:vMerge w:val="restart"/>
          </w:tcPr>
          <w:p w14:paraId="260DD769" w14:textId="77777777" w:rsidR="00822697" w:rsidRPr="00822697" w:rsidRDefault="00822697" w:rsidP="00822697">
            <w:pPr>
              <w:rPr>
                <w:b/>
              </w:rPr>
            </w:pPr>
            <w:r w:rsidRPr="00822697">
              <w:rPr>
                <w:b/>
              </w:rPr>
              <w:t>Duration of therapy and conversion to oral therapy</w:t>
            </w:r>
          </w:p>
        </w:tc>
      </w:tr>
      <w:tr w:rsidR="00822697" w:rsidRPr="00822697" w14:paraId="520D6372" w14:textId="77777777" w:rsidTr="005430F9">
        <w:tc>
          <w:tcPr>
            <w:tcW w:w="3036" w:type="dxa"/>
            <w:gridSpan w:val="2"/>
          </w:tcPr>
          <w:p w14:paraId="30FE6B3E" w14:textId="77777777" w:rsidR="00822697" w:rsidRPr="00822697" w:rsidRDefault="00822697" w:rsidP="00822697">
            <w:pPr>
              <w:rPr>
                <w:b/>
              </w:rPr>
            </w:pPr>
            <w:proofErr w:type="spellStart"/>
            <w:r w:rsidRPr="00822697">
              <w:rPr>
                <w:b/>
              </w:rPr>
              <w:t>Cellulitis</w:t>
            </w:r>
            <w:r w:rsidRPr="00822697">
              <w:rPr>
                <w:b/>
                <w:vertAlign w:val="superscript"/>
              </w:rPr>
              <w:t>a,b</w:t>
            </w:r>
            <w:proofErr w:type="spellEnd"/>
          </w:p>
          <w:p w14:paraId="2B64F2E1" w14:textId="77777777" w:rsidR="00822697" w:rsidRPr="00822697" w:rsidRDefault="00822697" w:rsidP="00822697">
            <w:pPr>
              <w:rPr>
                <w:b/>
              </w:rPr>
            </w:pPr>
          </w:p>
        </w:tc>
        <w:tc>
          <w:tcPr>
            <w:tcW w:w="2359" w:type="dxa"/>
          </w:tcPr>
          <w:p w14:paraId="5AC674E8" w14:textId="77777777" w:rsidR="00822697" w:rsidRPr="00822697" w:rsidRDefault="00822697" w:rsidP="00822697">
            <w:pPr>
              <w:rPr>
                <w:b/>
              </w:rPr>
            </w:pPr>
            <w:r w:rsidRPr="00822697">
              <w:rPr>
                <w:b/>
              </w:rPr>
              <w:t xml:space="preserve">Necrotizing </w:t>
            </w:r>
            <w:proofErr w:type="spellStart"/>
            <w:r w:rsidRPr="00822697">
              <w:rPr>
                <w:b/>
              </w:rPr>
              <w:t>fasciitis</w:t>
            </w:r>
            <w:r w:rsidRPr="00822697">
              <w:rPr>
                <w:b/>
                <w:vertAlign w:val="superscript"/>
              </w:rPr>
              <w:t>c</w:t>
            </w:r>
            <w:proofErr w:type="spellEnd"/>
          </w:p>
        </w:tc>
        <w:tc>
          <w:tcPr>
            <w:tcW w:w="3893" w:type="dxa"/>
            <w:gridSpan w:val="2"/>
          </w:tcPr>
          <w:p w14:paraId="0A7FD9F3" w14:textId="07224AC7" w:rsidR="00822697" w:rsidRPr="00822697" w:rsidRDefault="00822697" w:rsidP="00822697">
            <w:pPr>
              <w:rPr>
                <w:b/>
              </w:rPr>
            </w:pPr>
            <w:r w:rsidRPr="00822697">
              <w:rPr>
                <w:b/>
              </w:rPr>
              <w:t xml:space="preserve">Surgical site </w:t>
            </w:r>
            <w:proofErr w:type="spellStart"/>
            <w:r w:rsidRPr="00822697">
              <w:rPr>
                <w:b/>
              </w:rPr>
              <w:t>infections</w:t>
            </w:r>
            <w:r w:rsidRPr="00822697">
              <w:rPr>
                <w:b/>
                <w:vertAlign w:val="superscript"/>
              </w:rPr>
              <w:t>a,d,e</w:t>
            </w:r>
            <w:proofErr w:type="spellEnd"/>
          </w:p>
        </w:tc>
        <w:tc>
          <w:tcPr>
            <w:tcW w:w="4140" w:type="dxa"/>
            <w:gridSpan w:val="3"/>
            <w:vMerge/>
          </w:tcPr>
          <w:p w14:paraId="65D907CE" w14:textId="77777777" w:rsidR="00822697" w:rsidRPr="00822697" w:rsidRDefault="00822697" w:rsidP="00822697">
            <w:pPr>
              <w:rPr>
                <w:b/>
                <w:sz w:val="24"/>
                <w:szCs w:val="24"/>
              </w:rPr>
            </w:pPr>
          </w:p>
        </w:tc>
      </w:tr>
      <w:tr w:rsidR="00822697" w:rsidRPr="00822697" w14:paraId="619840F6" w14:textId="77777777" w:rsidTr="005430F9">
        <w:trPr>
          <w:trHeight w:val="1187"/>
        </w:trPr>
        <w:tc>
          <w:tcPr>
            <w:tcW w:w="1518" w:type="dxa"/>
          </w:tcPr>
          <w:p w14:paraId="66ACDEAF" w14:textId="77777777" w:rsidR="00822697" w:rsidRPr="00822697" w:rsidRDefault="00822697" w:rsidP="00822697">
            <w:r w:rsidRPr="00822697">
              <w:t>Moderate infection</w:t>
            </w:r>
          </w:p>
          <w:p w14:paraId="10E7CA5A" w14:textId="77777777" w:rsidR="00822697" w:rsidRPr="00822697" w:rsidRDefault="00822697" w:rsidP="00822697"/>
        </w:tc>
        <w:tc>
          <w:tcPr>
            <w:tcW w:w="1518" w:type="dxa"/>
          </w:tcPr>
          <w:p w14:paraId="274A8BF4" w14:textId="77777777" w:rsidR="00822697" w:rsidRPr="00822697" w:rsidRDefault="00822697" w:rsidP="00822697">
            <w:r w:rsidRPr="00822697">
              <w:t>Severe infection</w:t>
            </w:r>
          </w:p>
        </w:tc>
        <w:tc>
          <w:tcPr>
            <w:tcW w:w="2359" w:type="dxa"/>
            <w:vMerge w:val="restart"/>
          </w:tcPr>
          <w:p w14:paraId="71E7DE63" w14:textId="77777777" w:rsidR="00822697" w:rsidRPr="00B25280" w:rsidRDefault="00822697" w:rsidP="00822697">
            <w:pPr>
              <w:rPr>
                <w:i/>
                <w:color w:val="808080" w:themeColor="background1" w:themeShade="80"/>
                <w:sz w:val="20"/>
                <w:szCs w:val="20"/>
              </w:rPr>
            </w:pPr>
            <w:r w:rsidRPr="00B25280">
              <w:rPr>
                <w:i/>
                <w:color w:val="808080" w:themeColor="background1" w:themeShade="80"/>
                <w:sz w:val="20"/>
                <w:szCs w:val="20"/>
              </w:rPr>
              <w:t>[To be filled based on local patterns of resistance and antibiotic availability]</w:t>
            </w:r>
          </w:p>
          <w:p w14:paraId="674B787E" w14:textId="77777777" w:rsidR="00822697" w:rsidRPr="00822697" w:rsidRDefault="00822697" w:rsidP="00822697"/>
        </w:tc>
        <w:tc>
          <w:tcPr>
            <w:tcW w:w="2070" w:type="dxa"/>
          </w:tcPr>
          <w:p w14:paraId="555A75C7" w14:textId="77777777" w:rsidR="00822697" w:rsidRPr="00822697" w:rsidRDefault="00822697" w:rsidP="00822697">
            <w:r w:rsidRPr="00822697">
              <w:t>Operations of the head, trunk, extremity</w:t>
            </w:r>
          </w:p>
          <w:p w14:paraId="0A6544BD" w14:textId="77777777" w:rsidR="00822697" w:rsidRPr="00822697" w:rsidRDefault="00822697" w:rsidP="00822697">
            <w:pPr>
              <w:ind w:left="360"/>
              <w:contextualSpacing/>
            </w:pPr>
          </w:p>
        </w:tc>
        <w:tc>
          <w:tcPr>
            <w:tcW w:w="1823" w:type="dxa"/>
          </w:tcPr>
          <w:p w14:paraId="6A0ABA49" w14:textId="77777777" w:rsidR="00822697" w:rsidRPr="00822697" w:rsidRDefault="00822697" w:rsidP="00822697">
            <w:r w:rsidRPr="00822697">
              <w:t xml:space="preserve">Operations of the GI tract or female genital tract </w:t>
            </w:r>
          </w:p>
          <w:p w14:paraId="38996221" w14:textId="77777777" w:rsidR="00822697" w:rsidRPr="00822697" w:rsidRDefault="00822697" w:rsidP="00822697">
            <w:pPr>
              <w:ind w:left="360"/>
              <w:contextualSpacing/>
            </w:pPr>
          </w:p>
        </w:tc>
        <w:tc>
          <w:tcPr>
            <w:tcW w:w="1380" w:type="dxa"/>
          </w:tcPr>
          <w:p w14:paraId="6F565D22" w14:textId="77777777" w:rsidR="00822697" w:rsidRPr="00822697" w:rsidRDefault="00822697" w:rsidP="00822697">
            <w:r w:rsidRPr="00822697">
              <w:rPr>
                <w:rFonts w:cstheme="minorHAnsi"/>
              </w:rPr>
              <w:t>Cellulitis</w:t>
            </w:r>
          </w:p>
        </w:tc>
        <w:tc>
          <w:tcPr>
            <w:tcW w:w="1380" w:type="dxa"/>
          </w:tcPr>
          <w:p w14:paraId="5F3FD6B0" w14:textId="77777777" w:rsidR="00822697" w:rsidRPr="00822697" w:rsidRDefault="00822697" w:rsidP="00822697">
            <w:r w:rsidRPr="00822697">
              <w:t>Necrotizing fasciitis</w:t>
            </w:r>
          </w:p>
        </w:tc>
        <w:tc>
          <w:tcPr>
            <w:tcW w:w="1380" w:type="dxa"/>
          </w:tcPr>
          <w:p w14:paraId="2F1C0929" w14:textId="77777777" w:rsidR="00822697" w:rsidRPr="00822697" w:rsidRDefault="00822697" w:rsidP="00822697">
            <w:r w:rsidRPr="00822697">
              <w:t>Surgical site infections</w:t>
            </w:r>
          </w:p>
        </w:tc>
      </w:tr>
      <w:tr w:rsidR="00822697" w:rsidRPr="00822697" w14:paraId="0AE5CEFD" w14:textId="77777777" w:rsidTr="005430F9">
        <w:trPr>
          <w:trHeight w:val="548"/>
        </w:trPr>
        <w:tc>
          <w:tcPr>
            <w:tcW w:w="1518" w:type="dxa"/>
          </w:tcPr>
          <w:p w14:paraId="2900F9C1"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257A3988" w14:textId="77777777" w:rsidR="00822697" w:rsidRPr="00CB2476" w:rsidRDefault="00822697" w:rsidP="00822697">
            <w:pPr>
              <w:rPr>
                <w:color w:val="808080" w:themeColor="background1" w:themeShade="80"/>
                <w:sz w:val="20"/>
                <w:szCs w:val="20"/>
              </w:rPr>
            </w:pPr>
          </w:p>
        </w:tc>
        <w:tc>
          <w:tcPr>
            <w:tcW w:w="1518" w:type="dxa"/>
          </w:tcPr>
          <w:p w14:paraId="5CFDD6C5"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11251E88" w14:textId="77777777" w:rsidR="00822697" w:rsidRPr="00CB2476" w:rsidRDefault="00822697" w:rsidP="00822697">
            <w:pPr>
              <w:rPr>
                <w:color w:val="808080" w:themeColor="background1" w:themeShade="80"/>
                <w:sz w:val="20"/>
                <w:szCs w:val="20"/>
              </w:rPr>
            </w:pPr>
          </w:p>
        </w:tc>
        <w:tc>
          <w:tcPr>
            <w:tcW w:w="2359" w:type="dxa"/>
            <w:vMerge/>
          </w:tcPr>
          <w:p w14:paraId="58110E83" w14:textId="77777777" w:rsidR="00822697" w:rsidRPr="00822697" w:rsidRDefault="00822697" w:rsidP="00822697"/>
        </w:tc>
        <w:tc>
          <w:tcPr>
            <w:tcW w:w="2070" w:type="dxa"/>
          </w:tcPr>
          <w:p w14:paraId="21669FE4"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7910C1AB" w14:textId="77777777" w:rsidR="00822697" w:rsidRPr="00CB2476" w:rsidRDefault="00822697" w:rsidP="00822697">
            <w:pPr>
              <w:rPr>
                <w:color w:val="808080" w:themeColor="background1" w:themeShade="80"/>
                <w:sz w:val="20"/>
                <w:szCs w:val="20"/>
              </w:rPr>
            </w:pPr>
          </w:p>
        </w:tc>
        <w:tc>
          <w:tcPr>
            <w:tcW w:w="1823" w:type="dxa"/>
          </w:tcPr>
          <w:p w14:paraId="12E2C724"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20FE7A09" w14:textId="77777777" w:rsidR="00822697" w:rsidRPr="00CB2476" w:rsidRDefault="00822697" w:rsidP="00822697">
            <w:pPr>
              <w:ind w:left="360"/>
              <w:contextualSpacing/>
              <w:rPr>
                <w:color w:val="808080" w:themeColor="background1" w:themeShade="80"/>
                <w:sz w:val="20"/>
                <w:szCs w:val="20"/>
              </w:rPr>
            </w:pPr>
          </w:p>
        </w:tc>
        <w:tc>
          <w:tcPr>
            <w:tcW w:w="1380" w:type="dxa"/>
          </w:tcPr>
          <w:p w14:paraId="5D9C6975"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5486A490" w14:textId="77777777" w:rsidR="00822697" w:rsidRPr="00CB2476" w:rsidRDefault="00822697" w:rsidP="00822697">
            <w:pPr>
              <w:rPr>
                <w:rFonts w:cstheme="minorHAnsi"/>
                <w:color w:val="808080" w:themeColor="background1" w:themeShade="80"/>
                <w:sz w:val="20"/>
                <w:szCs w:val="20"/>
              </w:rPr>
            </w:pPr>
          </w:p>
        </w:tc>
        <w:tc>
          <w:tcPr>
            <w:tcW w:w="1380" w:type="dxa"/>
          </w:tcPr>
          <w:p w14:paraId="4C641A34"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374E1A54" w14:textId="77777777" w:rsidR="00822697" w:rsidRPr="00CB2476" w:rsidRDefault="00822697" w:rsidP="00822697">
            <w:pPr>
              <w:ind w:left="360"/>
              <w:contextualSpacing/>
              <w:rPr>
                <w:rFonts w:cstheme="minorHAnsi"/>
                <w:color w:val="808080" w:themeColor="background1" w:themeShade="80"/>
                <w:sz w:val="20"/>
                <w:szCs w:val="20"/>
              </w:rPr>
            </w:pPr>
          </w:p>
        </w:tc>
        <w:tc>
          <w:tcPr>
            <w:tcW w:w="1380" w:type="dxa"/>
          </w:tcPr>
          <w:p w14:paraId="4A54CF66"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32A54F73" w14:textId="77777777" w:rsidR="00822697" w:rsidRPr="00CB2476" w:rsidRDefault="00822697" w:rsidP="00822697">
            <w:pPr>
              <w:rPr>
                <w:rFonts w:cstheme="minorHAnsi"/>
                <w:color w:val="808080" w:themeColor="background1" w:themeShade="80"/>
                <w:sz w:val="20"/>
                <w:szCs w:val="20"/>
              </w:rPr>
            </w:pPr>
          </w:p>
        </w:tc>
      </w:tr>
      <w:tr w:rsidR="00822697" w:rsidRPr="00822697" w14:paraId="6F3DCCCD" w14:textId="77777777" w:rsidTr="002E2780">
        <w:tc>
          <w:tcPr>
            <w:tcW w:w="13428" w:type="dxa"/>
            <w:gridSpan w:val="8"/>
          </w:tcPr>
          <w:p w14:paraId="2D427C14" w14:textId="77777777" w:rsidR="00822697" w:rsidRPr="00822697" w:rsidRDefault="00822697" w:rsidP="00822697">
            <w:pPr>
              <w:rPr>
                <w:sz w:val="20"/>
                <w:szCs w:val="20"/>
              </w:rPr>
            </w:pPr>
            <w:proofErr w:type="spellStart"/>
            <w:r w:rsidRPr="00822697">
              <w:rPr>
                <w:b/>
                <w:sz w:val="20"/>
                <w:szCs w:val="20"/>
                <w:vertAlign w:val="superscript"/>
              </w:rPr>
              <w:t>a</w:t>
            </w:r>
            <w:r w:rsidRPr="00822697">
              <w:rPr>
                <w:sz w:val="20"/>
                <w:szCs w:val="20"/>
              </w:rPr>
              <w:t>Patients</w:t>
            </w:r>
            <w:proofErr w:type="spellEnd"/>
            <w:r w:rsidRPr="00822697">
              <w:rPr>
                <w:sz w:val="20"/>
                <w:szCs w:val="20"/>
              </w:rPr>
              <w:t xml:space="preserve"> with systemic signs of infection (eg, temperature &gt;38°C, heart rate &gt;90 beats/min, respiratory rate &gt;24 breaths/min)</w:t>
            </w:r>
          </w:p>
          <w:p w14:paraId="6A9EDFA2" w14:textId="77777777" w:rsidR="00822697" w:rsidRPr="00822697" w:rsidRDefault="00822697" w:rsidP="00822697">
            <w:pPr>
              <w:rPr>
                <w:sz w:val="20"/>
                <w:szCs w:val="20"/>
              </w:rPr>
            </w:pPr>
            <w:proofErr w:type="spellStart"/>
            <w:r w:rsidRPr="00822697">
              <w:rPr>
                <w:b/>
                <w:sz w:val="20"/>
                <w:szCs w:val="20"/>
                <w:vertAlign w:val="superscript"/>
              </w:rPr>
              <w:t>b</w:t>
            </w:r>
            <w:r w:rsidRPr="00822697">
              <w:rPr>
                <w:sz w:val="20"/>
                <w:szCs w:val="20"/>
              </w:rPr>
              <w:t>Patients</w:t>
            </w:r>
            <w:proofErr w:type="spellEnd"/>
            <w:r w:rsidRPr="00822697">
              <w:rPr>
                <w:sz w:val="20"/>
                <w:szCs w:val="20"/>
              </w:rPr>
              <w:t xml:space="preserve"> with mild cellulitis (no systemic signs of infection) should receive oral outpatient therapy with an antistreptococcal agent</w:t>
            </w:r>
          </w:p>
          <w:p w14:paraId="6BF637EB" w14:textId="77777777" w:rsidR="00822697" w:rsidRPr="00822697" w:rsidRDefault="00822697" w:rsidP="00822697">
            <w:pPr>
              <w:rPr>
                <w:sz w:val="20"/>
                <w:szCs w:val="20"/>
              </w:rPr>
            </w:pPr>
            <w:proofErr w:type="spellStart"/>
            <w:r w:rsidRPr="00822697">
              <w:rPr>
                <w:b/>
                <w:sz w:val="20"/>
                <w:szCs w:val="20"/>
                <w:vertAlign w:val="superscript"/>
              </w:rPr>
              <w:t>c</w:t>
            </w:r>
            <w:r w:rsidRPr="00822697">
              <w:rPr>
                <w:sz w:val="20"/>
                <w:szCs w:val="20"/>
              </w:rPr>
              <w:t>Modify</w:t>
            </w:r>
            <w:proofErr w:type="spellEnd"/>
            <w:r w:rsidRPr="00822697">
              <w:rPr>
                <w:sz w:val="20"/>
                <w:szCs w:val="20"/>
              </w:rPr>
              <w:t xml:space="preserve"> antibiotic therapy once definitive microbiological results have been obtained</w:t>
            </w:r>
          </w:p>
          <w:p w14:paraId="5FCC2C0E" w14:textId="77777777" w:rsidR="00822697" w:rsidRPr="00822697" w:rsidRDefault="00822697" w:rsidP="00822697">
            <w:pPr>
              <w:rPr>
                <w:sz w:val="20"/>
                <w:szCs w:val="20"/>
              </w:rPr>
            </w:pPr>
            <w:proofErr w:type="spellStart"/>
            <w:r w:rsidRPr="00822697">
              <w:rPr>
                <w:b/>
                <w:sz w:val="20"/>
                <w:szCs w:val="20"/>
                <w:vertAlign w:val="superscript"/>
              </w:rPr>
              <w:t>d</w:t>
            </w:r>
            <w:r w:rsidRPr="00822697">
              <w:rPr>
                <w:sz w:val="20"/>
                <w:szCs w:val="20"/>
              </w:rPr>
              <w:t>Surgical</w:t>
            </w:r>
            <w:proofErr w:type="spellEnd"/>
            <w:r w:rsidRPr="00822697">
              <w:rPr>
                <w:sz w:val="20"/>
                <w:szCs w:val="20"/>
              </w:rPr>
              <w:t xml:space="preserve"> patients with &lt;5 cm of erythema and induration with minimal systemic signs of infection do not require antibiotics</w:t>
            </w:r>
          </w:p>
          <w:p w14:paraId="36C2EE54" w14:textId="77777777" w:rsidR="00822697" w:rsidRPr="00822697" w:rsidRDefault="00822697" w:rsidP="00822697">
            <w:pPr>
              <w:rPr>
                <w:sz w:val="20"/>
                <w:szCs w:val="20"/>
              </w:rPr>
            </w:pPr>
            <w:proofErr w:type="spellStart"/>
            <w:r w:rsidRPr="00822697">
              <w:rPr>
                <w:b/>
                <w:sz w:val="20"/>
                <w:szCs w:val="20"/>
                <w:vertAlign w:val="superscript"/>
              </w:rPr>
              <w:t>e</w:t>
            </w:r>
            <w:r w:rsidRPr="00822697">
              <w:rPr>
                <w:sz w:val="20"/>
                <w:szCs w:val="20"/>
              </w:rPr>
              <w:t>Suggest</w:t>
            </w:r>
            <w:proofErr w:type="spellEnd"/>
            <w:r w:rsidRPr="00822697">
              <w:rPr>
                <w:sz w:val="20"/>
                <w:szCs w:val="20"/>
              </w:rPr>
              <w:t xml:space="preserve"> using an agent effective against MRSA when MRSA risk factors are present (eg, prior MRSA infection, recent antibiotics)</w:t>
            </w:r>
          </w:p>
        </w:tc>
      </w:tr>
      <w:tr w:rsidR="00822697" w:rsidRPr="00822697" w14:paraId="1AB6DE1B" w14:textId="77777777" w:rsidTr="002E2780">
        <w:tc>
          <w:tcPr>
            <w:tcW w:w="13428" w:type="dxa"/>
            <w:gridSpan w:val="8"/>
          </w:tcPr>
          <w:p w14:paraId="30E6CED5" w14:textId="6F07407F" w:rsidR="00822697" w:rsidRPr="001760BD" w:rsidRDefault="001760BD" w:rsidP="001760BD">
            <w:pPr>
              <w:rPr>
                <w:b/>
                <w:color w:val="FF0000"/>
                <w:sz w:val="20"/>
                <w:szCs w:val="20"/>
              </w:rPr>
            </w:pPr>
            <w:r>
              <w:rPr>
                <w:b/>
                <w:color w:val="FF0000"/>
                <w:sz w:val="20"/>
                <w:szCs w:val="20"/>
              </w:rPr>
              <w:t>*</w:t>
            </w:r>
            <w:r w:rsidR="00822697" w:rsidRPr="001760BD">
              <w:rPr>
                <w:b/>
                <w:color w:val="FF0000"/>
                <w:sz w:val="20"/>
                <w:szCs w:val="20"/>
              </w:rPr>
              <w:t>This is a template only. The table must be filled and adapted based on local</w:t>
            </w:r>
            <w:r w:rsidR="00600C74" w:rsidRPr="001760BD">
              <w:rPr>
                <w:b/>
                <w:color w:val="FF0000"/>
                <w:sz w:val="20"/>
                <w:szCs w:val="20"/>
              </w:rPr>
              <w:t>/hospital</w:t>
            </w:r>
            <w:r w:rsidR="00822697" w:rsidRPr="001760BD">
              <w:rPr>
                <w:b/>
                <w:color w:val="FF0000"/>
                <w:sz w:val="20"/>
                <w:szCs w:val="20"/>
              </w:rPr>
              <w:t xml:space="preserve"> patterns of resistance and antibiotic availability.</w:t>
            </w:r>
            <w:r w:rsidR="00822697" w:rsidRPr="001760BD">
              <w:rPr>
                <w:b/>
                <w:color w:val="FF0000"/>
              </w:rPr>
              <w:t xml:space="preserve"> </w:t>
            </w:r>
            <w:r w:rsidR="00822697" w:rsidRPr="001760BD">
              <w:rPr>
                <w:b/>
                <w:color w:val="FF0000"/>
                <w:sz w:val="20"/>
                <w:szCs w:val="20"/>
              </w:rPr>
              <w:t>Recommendations in the fo</w:t>
            </w:r>
            <w:r w:rsidR="00ED578F">
              <w:rPr>
                <w:b/>
                <w:color w:val="FF0000"/>
                <w:sz w:val="20"/>
                <w:szCs w:val="20"/>
              </w:rPr>
              <w:t>otnote are based on the IDSA SSTI</w:t>
            </w:r>
            <w:r w:rsidR="00822697" w:rsidRPr="001760BD">
              <w:rPr>
                <w:b/>
                <w:color w:val="FF0000"/>
                <w:sz w:val="20"/>
                <w:szCs w:val="20"/>
              </w:rPr>
              <w:t xml:space="preserve"> treatment guidelines and shou</w:t>
            </w:r>
            <w:r w:rsidR="00ED578F">
              <w:rPr>
                <w:b/>
                <w:color w:val="FF0000"/>
                <w:sz w:val="20"/>
                <w:szCs w:val="20"/>
              </w:rPr>
              <w:t>ld be adapted as appropriate</w:t>
            </w:r>
          </w:p>
          <w:p w14:paraId="21998CAF" w14:textId="08691E5E" w:rsidR="00822697" w:rsidRPr="00DB3D92" w:rsidRDefault="00822697" w:rsidP="00DB3D92">
            <w:pPr>
              <w:pStyle w:val="ListParagraph"/>
              <w:numPr>
                <w:ilvl w:val="0"/>
                <w:numId w:val="4"/>
              </w:numPr>
              <w:rPr>
                <w:sz w:val="20"/>
                <w:szCs w:val="20"/>
              </w:rPr>
            </w:pPr>
            <w:r w:rsidRPr="00DB3D92">
              <w:rPr>
                <w:b/>
                <w:sz w:val="20"/>
                <w:szCs w:val="20"/>
              </w:rPr>
              <w:t xml:space="preserve">Refer to local guidelines if available. Online link to the IDSA SSTI treatment guidelines: </w:t>
            </w:r>
            <w:r w:rsidR="00A03817" w:rsidRPr="00A03817">
              <w:rPr>
                <w:sz w:val="20"/>
                <w:szCs w:val="20"/>
              </w:rPr>
              <w:t>www.idsociety.org/practice-guideline/skin-and-soft-tissue-infections/</w:t>
            </w:r>
          </w:p>
        </w:tc>
      </w:tr>
    </w:tbl>
    <w:p w14:paraId="7473850D" w14:textId="6DE92163" w:rsidR="002E2780" w:rsidRPr="006C197E" w:rsidRDefault="006C197E" w:rsidP="00822697">
      <w:pPr>
        <w:spacing w:after="0" w:line="240" w:lineRule="auto"/>
        <w:rPr>
          <w:sz w:val="20"/>
          <w:szCs w:val="24"/>
          <w:lang w:eastAsia="en-US"/>
        </w:rPr>
      </w:pPr>
      <w:r w:rsidRPr="006C197E">
        <w:rPr>
          <w:sz w:val="20"/>
          <w:szCs w:val="24"/>
          <w:lang w:eastAsia="en-US"/>
        </w:rPr>
        <w:t xml:space="preserve">GI, gastrointestinal; IDSA, Infectious Diseases Society of America; IV, intravenous; MRSA, methicillin-resistant </w:t>
      </w:r>
      <w:r w:rsidRPr="006C197E">
        <w:rPr>
          <w:i/>
          <w:sz w:val="20"/>
          <w:szCs w:val="24"/>
          <w:lang w:eastAsia="en-US"/>
        </w:rPr>
        <w:t>Staphylococcus aureus</w:t>
      </w:r>
    </w:p>
    <w:p w14:paraId="0EC2D097" w14:textId="77777777" w:rsidR="006C197E" w:rsidRDefault="006C197E" w:rsidP="00822697">
      <w:pPr>
        <w:spacing w:after="0" w:line="240" w:lineRule="auto"/>
        <w:rPr>
          <w:b/>
          <w:sz w:val="20"/>
          <w:szCs w:val="24"/>
          <w:lang w:eastAsia="en-US"/>
        </w:rPr>
      </w:pPr>
    </w:p>
    <w:p w14:paraId="0EC43C5C" w14:textId="3CAB32A6" w:rsidR="00822697" w:rsidRDefault="002E2780" w:rsidP="00822697">
      <w:pPr>
        <w:spacing w:after="0" w:line="240" w:lineRule="auto"/>
        <w:rPr>
          <w:sz w:val="20"/>
          <w:szCs w:val="20"/>
          <w:lang w:eastAsia="en-US"/>
        </w:rPr>
      </w:pPr>
      <w:r w:rsidRPr="006C197E">
        <w:rPr>
          <w:b/>
          <w:sz w:val="20"/>
          <w:szCs w:val="24"/>
          <w:lang w:eastAsia="en-US"/>
        </w:rPr>
        <w:t>Reference:</w:t>
      </w:r>
      <w:r w:rsidRPr="006C197E">
        <w:rPr>
          <w:sz w:val="18"/>
        </w:rPr>
        <w:t xml:space="preserve"> </w:t>
      </w:r>
      <w:r w:rsidRPr="006C197E">
        <w:rPr>
          <w:sz w:val="20"/>
          <w:szCs w:val="24"/>
          <w:lang w:eastAsia="en-US"/>
        </w:rPr>
        <w:t xml:space="preserve">Stevens DL, et al. Practice guidelines for the diagnosis and management of skin and soft tissue infections: 2014 Update by the Infectious Diseases Society of America. </w:t>
      </w:r>
      <w:r w:rsidRPr="006C197E">
        <w:rPr>
          <w:i/>
          <w:sz w:val="20"/>
          <w:szCs w:val="24"/>
          <w:lang w:eastAsia="en-US"/>
        </w:rPr>
        <w:t>Clin Infect Dis</w:t>
      </w:r>
      <w:r w:rsidRPr="006C197E">
        <w:rPr>
          <w:sz w:val="20"/>
          <w:szCs w:val="24"/>
          <w:lang w:eastAsia="en-US"/>
        </w:rPr>
        <w:t xml:space="preserve"> 2014;59:e10-e52.</w:t>
      </w:r>
      <w:r w:rsidR="00822697" w:rsidRPr="00822697">
        <w:rPr>
          <w:sz w:val="20"/>
          <w:szCs w:val="20"/>
          <w:lang w:eastAsia="en-US"/>
        </w:rPr>
        <w:br w:type="page"/>
      </w:r>
    </w:p>
    <w:p w14:paraId="194C59FC" w14:textId="77777777" w:rsidR="008276E1" w:rsidRDefault="008276E1" w:rsidP="00822697">
      <w:pPr>
        <w:rPr>
          <w:lang w:eastAsia="en-US"/>
        </w:rPr>
      </w:pPr>
      <w:r>
        <w:rPr>
          <w:b/>
          <w:sz w:val="24"/>
          <w:szCs w:val="24"/>
          <w:lang w:eastAsia="en-US"/>
        </w:rPr>
        <w:lastRenderedPageBreak/>
        <w:t>Appendix 4</w:t>
      </w:r>
      <w:r w:rsidR="00822697" w:rsidRPr="00822697">
        <w:rPr>
          <w:lang w:eastAsia="en-US"/>
        </w:rPr>
        <w:t xml:space="preserve"> </w:t>
      </w:r>
    </w:p>
    <w:p w14:paraId="2124D3BE" w14:textId="77777777" w:rsidR="00822697" w:rsidRPr="00822697" w:rsidRDefault="00822697" w:rsidP="00822697">
      <w:pPr>
        <w:rPr>
          <w:b/>
          <w:sz w:val="24"/>
          <w:szCs w:val="24"/>
          <w:lang w:eastAsia="en-US"/>
        </w:rPr>
      </w:pPr>
      <w:r w:rsidRPr="00822697">
        <w:rPr>
          <w:sz w:val="24"/>
          <w:szCs w:val="24"/>
          <w:lang w:eastAsia="en-US"/>
        </w:rPr>
        <w:t>Example template</w:t>
      </w:r>
      <w:r w:rsidRPr="00822697">
        <w:rPr>
          <w:sz w:val="24"/>
          <w:szCs w:val="24"/>
          <w:vertAlign w:val="superscript"/>
          <w:lang w:eastAsia="en-US"/>
        </w:rPr>
        <w:t>*</w:t>
      </w:r>
      <w:r w:rsidRPr="00822697">
        <w:rPr>
          <w:sz w:val="24"/>
          <w:szCs w:val="24"/>
          <w:lang w:eastAsia="en-US"/>
        </w:rPr>
        <w:t xml:space="preserve"> for the empiric treatment of intra-abdominal infections</w:t>
      </w:r>
    </w:p>
    <w:tbl>
      <w:tblPr>
        <w:tblStyle w:val="TableGrid"/>
        <w:tblW w:w="0" w:type="auto"/>
        <w:tblLook w:val="04A0" w:firstRow="1" w:lastRow="0" w:firstColumn="1" w:lastColumn="0" w:noHBand="0" w:noVBand="1"/>
      </w:tblPr>
      <w:tblGrid>
        <w:gridCol w:w="1623"/>
        <w:gridCol w:w="1722"/>
        <w:gridCol w:w="2008"/>
        <w:gridCol w:w="2009"/>
        <w:gridCol w:w="3430"/>
        <w:gridCol w:w="3156"/>
      </w:tblGrid>
      <w:tr w:rsidR="00822697" w:rsidRPr="00822697" w14:paraId="7FF02C99" w14:textId="77777777" w:rsidTr="00665AE3">
        <w:tc>
          <w:tcPr>
            <w:tcW w:w="13948" w:type="dxa"/>
            <w:gridSpan w:val="6"/>
          </w:tcPr>
          <w:p w14:paraId="1CDBE689" w14:textId="77777777" w:rsidR="00822697" w:rsidRPr="00822697" w:rsidRDefault="00822697" w:rsidP="00822697">
            <w:pPr>
              <w:jc w:val="center"/>
              <w:rPr>
                <w:b/>
              </w:rPr>
            </w:pPr>
            <w:r w:rsidRPr="00822697">
              <w:rPr>
                <w:b/>
              </w:rPr>
              <w:t>Intra-abdominal infections (IAIs)</w:t>
            </w:r>
          </w:p>
          <w:p w14:paraId="3B27C653" w14:textId="77777777" w:rsidR="00822697" w:rsidRPr="00822697" w:rsidRDefault="00822697" w:rsidP="00822697">
            <w:pPr>
              <w:jc w:val="center"/>
              <w:rPr>
                <w:b/>
              </w:rPr>
            </w:pPr>
          </w:p>
        </w:tc>
      </w:tr>
      <w:tr w:rsidR="00822697" w:rsidRPr="00822697" w14:paraId="4E6339C7" w14:textId="77777777" w:rsidTr="00665AE3">
        <w:tc>
          <w:tcPr>
            <w:tcW w:w="7362" w:type="dxa"/>
            <w:gridSpan w:val="4"/>
          </w:tcPr>
          <w:p w14:paraId="3BEBF09A" w14:textId="77777777" w:rsidR="00822697" w:rsidRPr="00822697" w:rsidRDefault="00822697" w:rsidP="00822697">
            <w:pPr>
              <w:jc w:val="center"/>
              <w:rPr>
                <w:b/>
              </w:rPr>
            </w:pPr>
            <w:r w:rsidRPr="00822697">
              <w:rPr>
                <w:b/>
              </w:rPr>
              <w:t>Choice for initial IV empiric treatment</w:t>
            </w:r>
          </w:p>
          <w:p w14:paraId="657A2A12" w14:textId="77777777" w:rsidR="00822697" w:rsidRPr="00822697" w:rsidRDefault="00822697" w:rsidP="00822697">
            <w:pPr>
              <w:rPr>
                <w:b/>
              </w:rPr>
            </w:pPr>
          </w:p>
        </w:tc>
        <w:tc>
          <w:tcPr>
            <w:tcW w:w="3430" w:type="dxa"/>
            <w:vMerge w:val="restart"/>
          </w:tcPr>
          <w:p w14:paraId="1AACE47C" w14:textId="77777777" w:rsidR="00822697" w:rsidRPr="00822697" w:rsidRDefault="00822697" w:rsidP="00822697">
            <w:pPr>
              <w:rPr>
                <w:b/>
              </w:rPr>
            </w:pPr>
            <w:r w:rsidRPr="00822697">
              <w:rPr>
                <w:b/>
              </w:rPr>
              <w:t>Conversion to oral therapy</w:t>
            </w:r>
          </w:p>
        </w:tc>
        <w:tc>
          <w:tcPr>
            <w:tcW w:w="3156" w:type="dxa"/>
            <w:vMerge w:val="restart"/>
          </w:tcPr>
          <w:p w14:paraId="75C62AC2" w14:textId="77777777" w:rsidR="00822697" w:rsidRPr="00822697" w:rsidRDefault="00822697" w:rsidP="00822697">
            <w:pPr>
              <w:rPr>
                <w:b/>
              </w:rPr>
            </w:pPr>
            <w:r w:rsidRPr="00822697">
              <w:rPr>
                <w:b/>
              </w:rPr>
              <w:t>Total duration</w:t>
            </w:r>
          </w:p>
        </w:tc>
      </w:tr>
      <w:tr w:rsidR="00822697" w:rsidRPr="00822697" w14:paraId="14A035CA" w14:textId="77777777" w:rsidTr="00665AE3">
        <w:tc>
          <w:tcPr>
            <w:tcW w:w="3345" w:type="dxa"/>
            <w:gridSpan w:val="2"/>
          </w:tcPr>
          <w:p w14:paraId="4FAC774F" w14:textId="77777777" w:rsidR="00822697" w:rsidRPr="00822697" w:rsidRDefault="00822697" w:rsidP="00822697">
            <w:pPr>
              <w:rPr>
                <w:b/>
              </w:rPr>
            </w:pPr>
            <w:r w:rsidRPr="00822697">
              <w:rPr>
                <w:b/>
              </w:rPr>
              <w:t xml:space="preserve">Community-acquired </w:t>
            </w:r>
            <w:proofErr w:type="spellStart"/>
            <w:r w:rsidRPr="00822697">
              <w:rPr>
                <w:b/>
              </w:rPr>
              <w:t>IAI</w:t>
            </w:r>
            <w:r w:rsidRPr="00822697">
              <w:rPr>
                <w:b/>
                <w:vertAlign w:val="superscript"/>
              </w:rPr>
              <w:t>a,b,c</w:t>
            </w:r>
            <w:proofErr w:type="spellEnd"/>
          </w:p>
          <w:p w14:paraId="266A00BF" w14:textId="742694AB" w:rsidR="00822697" w:rsidRPr="00822697" w:rsidRDefault="00822697" w:rsidP="00822697">
            <w:pPr>
              <w:rPr>
                <w:b/>
              </w:rPr>
            </w:pPr>
          </w:p>
        </w:tc>
        <w:tc>
          <w:tcPr>
            <w:tcW w:w="4017" w:type="dxa"/>
            <w:gridSpan w:val="2"/>
          </w:tcPr>
          <w:p w14:paraId="4BAB5A34" w14:textId="77777777" w:rsidR="00822697" w:rsidRPr="00822697" w:rsidRDefault="00822697" w:rsidP="00822697">
            <w:pPr>
              <w:rPr>
                <w:b/>
              </w:rPr>
            </w:pPr>
            <w:r w:rsidRPr="00822697">
              <w:rPr>
                <w:b/>
              </w:rPr>
              <w:t xml:space="preserve">Healthcare-associated </w:t>
            </w:r>
            <w:proofErr w:type="spellStart"/>
            <w:r w:rsidRPr="00822697">
              <w:rPr>
                <w:b/>
              </w:rPr>
              <w:t>IAI</w:t>
            </w:r>
            <w:r w:rsidRPr="00822697">
              <w:rPr>
                <w:b/>
                <w:vertAlign w:val="superscript"/>
              </w:rPr>
              <w:t>d</w:t>
            </w:r>
            <w:proofErr w:type="spellEnd"/>
          </w:p>
        </w:tc>
        <w:tc>
          <w:tcPr>
            <w:tcW w:w="3430" w:type="dxa"/>
            <w:vMerge/>
          </w:tcPr>
          <w:p w14:paraId="07B06D49" w14:textId="77777777" w:rsidR="00822697" w:rsidRPr="00822697" w:rsidRDefault="00822697" w:rsidP="00822697">
            <w:pPr>
              <w:rPr>
                <w:b/>
              </w:rPr>
            </w:pPr>
          </w:p>
        </w:tc>
        <w:tc>
          <w:tcPr>
            <w:tcW w:w="3156" w:type="dxa"/>
            <w:vMerge/>
          </w:tcPr>
          <w:p w14:paraId="165D4EAE" w14:textId="77777777" w:rsidR="00822697" w:rsidRPr="00822697" w:rsidRDefault="00822697" w:rsidP="00822697">
            <w:pPr>
              <w:rPr>
                <w:b/>
              </w:rPr>
            </w:pPr>
          </w:p>
        </w:tc>
      </w:tr>
      <w:tr w:rsidR="00822697" w:rsidRPr="00822697" w14:paraId="6A6F298B" w14:textId="77777777" w:rsidTr="00665AE3">
        <w:trPr>
          <w:trHeight w:val="872"/>
        </w:trPr>
        <w:tc>
          <w:tcPr>
            <w:tcW w:w="1623" w:type="dxa"/>
          </w:tcPr>
          <w:p w14:paraId="613C5249" w14:textId="77777777" w:rsidR="00822697" w:rsidRPr="00822697" w:rsidRDefault="00822697" w:rsidP="00822697">
            <w:r w:rsidRPr="00822697">
              <w:t>Single-agent therapy</w:t>
            </w:r>
          </w:p>
          <w:p w14:paraId="622D946F" w14:textId="77777777" w:rsidR="00822697" w:rsidRPr="00822697" w:rsidRDefault="00822697" w:rsidP="00822697"/>
        </w:tc>
        <w:tc>
          <w:tcPr>
            <w:tcW w:w="1722" w:type="dxa"/>
          </w:tcPr>
          <w:p w14:paraId="09A43EF8" w14:textId="77777777" w:rsidR="00822697" w:rsidRPr="00822697" w:rsidRDefault="00822697" w:rsidP="00822697">
            <w:pPr>
              <w:rPr>
                <w:b/>
              </w:rPr>
            </w:pPr>
            <w:r w:rsidRPr="00822697">
              <w:t xml:space="preserve">Combination </w:t>
            </w:r>
            <w:proofErr w:type="spellStart"/>
            <w:r w:rsidRPr="00822697">
              <w:t>regimens</w:t>
            </w:r>
            <w:r w:rsidRPr="00822697">
              <w:rPr>
                <w:b/>
                <w:vertAlign w:val="superscript"/>
              </w:rPr>
              <w:t>c</w:t>
            </w:r>
            <w:proofErr w:type="spellEnd"/>
          </w:p>
        </w:tc>
        <w:tc>
          <w:tcPr>
            <w:tcW w:w="2008" w:type="dxa"/>
          </w:tcPr>
          <w:p w14:paraId="7D105EFF" w14:textId="77777777" w:rsidR="00822697" w:rsidRPr="00822697" w:rsidRDefault="00822697" w:rsidP="00822697">
            <w:pPr>
              <w:rPr>
                <w:b/>
              </w:rPr>
            </w:pPr>
            <w:r w:rsidRPr="00822697">
              <w:t>Single-agent therapy</w:t>
            </w:r>
          </w:p>
        </w:tc>
        <w:tc>
          <w:tcPr>
            <w:tcW w:w="2009" w:type="dxa"/>
          </w:tcPr>
          <w:p w14:paraId="78195199" w14:textId="77777777" w:rsidR="00822697" w:rsidRPr="00822697" w:rsidRDefault="00822697" w:rsidP="00822697">
            <w:pPr>
              <w:rPr>
                <w:b/>
              </w:rPr>
            </w:pPr>
            <w:r w:rsidRPr="00822697">
              <w:t>Combination therapy</w:t>
            </w:r>
          </w:p>
        </w:tc>
        <w:tc>
          <w:tcPr>
            <w:tcW w:w="3430" w:type="dxa"/>
            <w:vMerge w:val="restart"/>
          </w:tcPr>
          <w:p w14:paraId="7E5C493F"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35730108" w14:textId="77777777" w:rsidR="00822697" w:rsidRPr="00CB2476" w:rsidRDefault="00822697" w:rsidP="00822697">
            <w:pPr>
              <w:rPr>
                <w:color w:val="808080" w:themeColor="background1" w:themeShade="80"/>
                <w:sz w:val="20"/>
                <w:szCs w:val="20"/>
              </w:rPr>
            </w:pPr>
          </w:p>
        </w:tc>
        <w:tc>
          <w:tcPr>
            <w:tcW w:w="3156" w:type="dxa"/>
            <w:vMerge w:val="restart"/>
          </w:tcPr>
          <w:p w14:paraId="17FB4F39"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1F1B03D8" w14:textId="77777777" w:rsidR="00822697" w:rsidRPr="00CB2476" w:rsidRDefault="00822697" w:rsidP="00822697">
            <w:pPr>
              <w:rPr>
                <w:color w:val="808080" w:themeColor="background1" w:themeShade="80"/>
                <w:sz w:val="20"/>
                <w:szCs w:val="20"/>
              </w:rPr>
            </w:pPr>
          </w:p>
        </w:tc>
      </w:tr>
      <w:tr w:rsidR="00822697" w:rsidRPr="00822697" w14:paraId="754EBEE3" w14:textId="77777777" w:rsidTr="00665AE3">
        <w:trPr>
          <w:trHeight w:val="350"/>
        </w:trPr>
        <w:tc>
          <w:tcPr>
            <w:tcW w:w="1623" w:type="dxa"/>
          </w:tcPr>
          <w:p w14:paraId="45999C8D"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3117AC02" w14:textId="77777777" w:rsidR="00822697" w:rsidRPr="00CB2476" w:rsidRDefault="00822697" w:rsidP="00822697">
            <w:pPr>
              <w:rPr>
                <w:color w:val="808080" w:themeColor="background1" w:themeShade="80"/>
                <w:sz w:val="20"/>
                <w:szCs w:val="20"/>
              </w:rPr>
            </w:pPr>
          </w:p>
        </w:tc>
        <w:tc>
          <w:tcPr>
            <w:tcW w:w="1722" w:type="dxa"/>
          </w:tcPr>
          <w:p w14:paraId="742E99F2"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3AD4D539" w14:textId="77777777" w:rsidR="00822697" w:rsidRPr="00CB2476" w:rsidRDefault="00822697" w:rsidP="00822697">
            <w:pPr>
              <w:rPr>
                <w:color w:val="808080" w:themeColor="background1" w:themeShade="80"/>
                <w:sz w:val="20"/>
                <w:szCs w:val="20"/>
              </w:rPr>
            </w:pPr>
          </w:p>
        </w:tc>
        <w:tc>
          <w:tcPr>
            <w:tcW w:w="2008" w:type="dxa"/>
          </w:tcPr>
          <w:p w14:paraId="1204AC60"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585588FC" w14:textId="77777777" w:rsidR="00822697" w:rsidRPr="00CB2476" w:rsidRDefault="00822697" w:rsidP="00822697">
            <w:pPr>
              <w:rPr>
                <w:color w:val="808080" w:themeColor="background1" w:themeShade="80"/>
                <w:sz w:val="20"/>
                <w:szCs w:val="20"/>
              </w:rPr>
            </w:pPr>
          </w:p>
        </w:tc>
        <w:tc>
          <w:tcPr>
            <w:tcW w:w="2009" w:type="dxa"/>
          </w:tcPr>
          <w:p w14:paraId="64750888" w14:textId="77777777" w:rsidR="00822697" w:rsidRPr="00CB2476" w:rsidRDefault="00822697" w:rsidP="00822697">
            <w:pPr>
              <w:rPr>
                <w:i/>
                <w:color w:val="808080" w:themeColor="background1" w:themeShade="80"/>
                <w:sz w:val="20"/>
                <w:szCs w:val="20"/>
              </w:rPr>
            </w:pPr>
            <w:r w:rsidRPr="00CB2476">
              <w:rPr>
                <w:i/>
                <w:color w:val="808080" w:themeColor="background1" w:themeShade="80"/>
                <w:sz w:val="20"/>
                <w:szCs w:val="20"/>
              </w:rPr>
              <w:t>[To be filled based on local patterns of resistance and antibiotic availability]</w:t>
            </w:r>
          </w:p>
          <w:p w14:paraId="78D53334" w14:textId="77777777" w:rsidR="00822697" w:rsidRPr="00CB2476" w:rsidRDefault="00822697" w:rsidP="00822697">
            <w:pPr>
              <w:rPr>
                <w:color w:val="808080" w:themeColor="background1" w:themeShade="80"/>
                <w:sz w:val="20"/>
                <w:szCs w:val="20"/>
              </w:rPr>
            </w:pPr>
          </w:p>
        </w:tc>
        <w:tc>
          <w:tcPr>
            <w:tcW w:w="3430" w:type="dxa"/>
            <w:vMerge/>
          </w:tcPr>
          <w:p w14:paraId="261A3E04" w14:textId="77777777" w:rsidR="00822697" w:rsidRPr="00822697" w:rsidRDefault="00822697" w:rsidP="00822697"/>
        </w:tc>
        <w:tc>
          <w:tcPr>
            <w:tcW w:w="3156" w:type="dxa"/>
            <w:vMerge/>
          </w:tcPr>
          <w:p w14:paraId="57C9D720" w14:textId="77777777" w:rsidR="00822697" w:rsidRPr="00822697" w:rsidRDefault="00822697" w:rsidP="00822697"/>
        </w:tc>
      </w:tr>
      <w:tr w:rsidR="00822697" w:rsidRPr="00822697" w14:paraId="67665A57" w14:textId="77777777" w:rsidTr="00665AE3">
        <w:tc>
          <w:tcPr>
            <w:tcW w:w="13948" w:type="dxa"/>
            <w:gridSpan w:val="6"/>
          </w:tcPr>
          <w:p w14:paraId="68FE099E" w14:textId="2003DACF" w:rsidR="00822697" w:rsidRPr="00822697" w:rsidRDefault="00822697" w:rsidP="00822697">
            <w:pPr>
              <w:rPr>
                <w:sz w:val="20"/>
                <w:szCs w:val="20"/>
              </w:rPr>
            </w:pPr>
            <w:proofErr w:type="spellStart"/>
            <w:r w:rsidRPr="00822697">
              <w:rPr>
                <w:sz w:val="20"/>
                <w:szCs w:val="20"/>
                <w:vertAlign w:val="superscript"/>
              </w:rPr>
              <w:t>a</w:t>
            </w:r>
            <w:r w:rsidRPr="00822697">
              <w:rPr>
                <w:sz w:val="20"/>
                <w:szCs w:val="20"/>
              </w:rPr>
              <w:t>For</w:t>
            </w:r>
            <w:proofErr w:type="spellEnd"/>
            <w:r w:rsidRPr="00822697">
              <w:rPr>
                <w:sz w:val="20"/>
                <w:szCs w:val="20"/>
              </w:rPr>
              <w:t xml:space="preserve"> patients with mild-to-moderate community-acquired infections, re</w:t>
            </w:r>
            <w:r w:rsidR="006C197E">
              <w:rPr>
                <w:sz w:val="20"/>
                <w:szCs w:val="20"/>
              </w:rPr>
              <w:t xml:space="preserve">gimens without substantial </w:t>
            </w:r>
            <w:r w:rsidR="006C197E" w:rsidRPr="006C197E">
              <w:rPr>
                <w:sz w:val="20"/>
                <w:szCs w:val="20"/>
              </w:rPr>
              <w:t>antip</w:t>
            </w:r>
            <w:r w:rsidRPr="006C197E">
              <w:rPr>
                <w:sz w:val="20"/>
                <w:szCs w:val="20"/>
              </w:rPr>
              <w:t>seudomonal</w:t>
            </w:r>
            <w:r w:rsidRPr="00822697">
              <w:rPr>
                <w:sz w:val="20"/>
                <w:szCs w:val="20"/>
              </w:rPr>
              <w:t xml:space="preserve"> activity are preferred</w:t>
            </w:r>
          </w:p>
          <w:p w14:paraId="74C3D5AD" w14:textId="1B44D583" w:rsidR="00822697" w:rsidRPr="00822697" w:rsidRDefault="00822697" w:rsidP="00822697">
            <w:pPr>
              <w:rPr>
                <w:sz w:val="20"/>
                <w:szCs w:val="20"/>
              </w:rPr>
            </w:pPr>
            <w:proofErr w:type="spellStart"/>
            <w:r w:rsidRPr="00822697">
              <w:rPr>
                <w:sz w:val="20"/>
                <w:szCs w:val="20"/>
                <w:vertAlign w:val="superscript"/>
              </w:rPr>
              <w:t>b</w:t>
            </w:r>
            <w:r w:rsidRPr="00822697">
              <w:rPr>
                <w:sz w:val="20"/>
                <w:szCs w:val="20"/>
              </w:rPr>
              <w:t>Empiric</w:t>
            </w:r>
            <w:proofErr w:type="spellEnd"/>
            <w:r w:rsidRPr="00822697">
              <w:rPr>
                <w:sz w:val="20"/>
                <w:szCs w:val="20"/>
              </w:rPr>
              <w:t xml:space="preserve"> use of broad-spectrum regimens against </w:t>
            </w:r>
            <w:r w:rsidR="006C197E">
              <w:rPr>
                <w:sz w:val="20"/>
                <w:szCs w:val="20"/>
              </w:rPr>
              <w:t>G</w:t>
            </w:r>
            <w:r w:rsidRPr="00822697">
              <w:rPr>
                <w:sz w:val="20"/>
                <w:szCs w:val="20"/>
              </w:rPr>
              <w:t>ram-negative organisms is recommended for patients with severe community-acquired IAI. This should be tailored once culture and susceptibility reports are available</w:t>
            </w:r>
          </w:p>
          <w:p w14:paraId="17E9418A" w14:textId="77777777" w:rsidR="00822697" w:rsidRPr="00822697" w:rsidRDefault="00822697" w:rsidP="00822697">
            <w:pPr>
              <w:rPr>
                <w:sz w:val="20"/>
                <w:szCs w:val="20"/>
              </w:rPr>
            </w:pPr>
            <w:proofErr w:type="spellStart"/>
            <w:r w:rsidRPr="00822697">
              <w:rPr>
                <w:sz w:val="20"/>
                <w:szCs w:val="20"/>
                <w:vertAlign w:val="superscript"/>
              </w:rPr>
              <w:t>cI</w:t>
            </w:r>
            <w:r w:rsidRPr="00822697">
              <w:rPr>
                <w:sz w:val="20"/>
                <w:szCs w:val="20"/>
              </w:rPr>
              <w:t>In</w:t>
            </w:r>
            <w:proofErr w:type="spellEnd"/>
            <w:r w:rsidRPr="00822697">
              <w:rPr>
                <w:sz w:val="20"/>
                <w:szCs w:val="20"/>
              </w:rPr>
              <w:t xml:space="preserve"> high-risk community-acquired IAI, quinolones should not be used unless hospital surveys indicate &gt;90% susceptibility of </w:t>
            </w:r>
            <w:r w:rsidRPr="00822697">
              <w:rPr>
                <w:i/>
                <w:sz w:val="20"/>
                <w:szCs w:val="20"/>
              </w:rPr>
              <w:t>Escherichia coli</w:t>
            </w:r>
            <w:r w:rsidRPr="00822697">
              <w:rPr>
                <w:sz w:val="20"/>
                <w:szCs w:val="20"/>
              </w:rPr>
              <w:t xml:space="preserve"> to quinolones</w:t>
            </w:r>
          </w:p>
          <w:p w14:paraId="6A840FFD" w14:textId="77777777" w:rsidR="00822697" w:rsidRPr="00822697" w:rsidRDefault="00822697" w:rsidP="00822697">
            <w:pPr>
              <w:rPr>
                <w:sz w:val="20"/>
                <w:szCs w:val="20"/>
              </w:rPr>
            </w:pPr>
            <w:proofErr w:type="spellStart"/>
            <w:r w:rsidRPr="00822697">
              <w:rPr>
                <w:sz w:val="20"/>
                <w:szCs w:val="20"/>
                <w:vertAlign w:val="superscript"/>
              </w:rPr>
              <w:t>d</w:t>
            </w:r>
            <w:r w:rsidRPr="00822697">
              <w:rPr>
                <w:sz w:val="20"/>
                <w:szCs w:val="20"/>
              </w:rPr>
              <w:t>Empiric</w:t>
            </w:r>
            <w:proofErr w:type="spellEnd"/>
            <w:r w:rsidRPr="00822697">
              <w:rPr>
                <w:sz w:val="20"/>
                <w:szCs w:val="20"/>
              </w:rPr>
              <w:t xml:space="preserve"> therapy for healthcare-associated IAI should be driven by local microbiology. Multidrug regimens may be needed to achieve empiric coverage of likely pathogens – broad-spectrum antibiotics should be tailored upon availability of culture and susceptibility reports</w:t>
            </w:r>
          </w:p>
        </w:tc>
      </w:tr>
      <w:tr w:rsidR="00822697" w:rsidRPr="00822697" w14:paraId="74CB1DA9" w14:textId="77777777" w:rsidTr="00665AE3">
        <w:tc>
          <w:tcPr>
            <w:tcW w:w="13948" w:type="dxa"/>
            <w:gridSpan w:val="6"/>
          </w:tcPr>
          <w:p w14:paraId="5CA497FE" w14:textId="5E7AADF8" w:rsidR="00822697" w:rsidRPr="00F95F78" w:rsidRDefault="00F95F78" w:rsidP="00F95F78">
            <w:pPr>
              <w:rPr>
                <w:b/>
                <w:color w:val="FF0000"/>
                <w:sz w:val="20"/>
                <w:szCs w:val="20"/>
              </w:rPr>
            </w:pPr>
            <w:r>
              <w:rPr>
                <w:b/>
                <w:color w:val="FF0000"/>
                <w:sz w:val="20"/>
                <w:szCs w:val="20"/>
              </w:rPr>
              <w:t>*</w:t>
            </w:r>
            <w:r w:rsidR="00822697" w:rsidRPr="00F95F78">
              <w:rPr>
                <w:b/>
                <w:color w:val="FF0000"/>
                <w:sz w:val="20"/>
                <w:szCs w:val="20"/>
              </w:rPr>
              <w:t>This is a template only. The table must be filled and adapted based on local</w:t>
            </w:r>
            <w:r w:rsidR="00600C74" w:rsidRPr="00F95F78">
              <w:rPr>
                <w:b/>
                <w:color w:val="FF0000"/>
                <w:sz w:val="20"/>
                <w:szCs w:val="20"/>
              </w:rPr>
              <w:t>/hospital</w:t>
            </w:r>
            <w:r w:rsidR="00822697" w:rsidRPr="00F95F78">
              <w:rPr>
                <w:b/>
                <w:color w:val="FF0000"/>
                <w:sz w:val="20"/>
                <w:szCs w:val="20"/>
              </w:rPr>
              <w:t xml:space="preserve"> patterns of resistance and antibiotic availability.</w:t>
            </w:r>
            <w:r w:rsidR="00822697" w:rsidRPr="00F95F78">
              <w:rPr>
                <w:b/>
                <w:color w:val="FF0000"/>
              </w:rPr>
              <w:t xml:space="preserve"> </w:t>
            </w:r>
            <w:r w:rsidR="00822697" w:rsidRPr="00F95F78">
              <w:rPr>
                <w:b/>
                <w:color w:val="FF0000"/>
                <w:sz w:val="20"/>
                <w:szCs w:val="20"/>
              </w:rPr>
              <w:t xml:space="preserve">Recommendations in the footnote are based on the </w:t>
            </w:r>
            <w:r w:rsidR="00301176">
              <w:rPr>
                <w:b/>
                <w:color w:val="FF0000"/>
                <w:sz w:val="20"/>
                <w:szCs w:val="20"/>
              </w:rPr>
              <w:t>Surgical Infection Society/IDSA</w:t>
            </w:r>
            <w:r w:rsidR="00822697" w:rsidRPr="00F95F78">
              <w:rPr>
                <w:b/>
                <w:color w:val="FF0000"/>
                <w:sz w:val="20"/>
                <w:szCs w:val="20"/>
              </w:rPr>
              <w:t xml:space="preserve"> treatment guidelines and s</w:t>
            </w:r>
            <w:r w:rsidR="001760BD">
              <w:rPr>
                <w:b/>
                <w:color w:val="FF0000"/>
                <w:sz w:val="20"/>
                <w:szCs w:val="20"/>
              </w:rPr>
              <w:t>hould be adapted as appropriate</w:t>
            </w:r>
          </w:p>
          <w:p w14:paraId="3167C3B1" w14:textId="2F36021E" w:rsidR="00822697" w:rsidRPr="00DB3D92" w:rsidRDefault="00822697" w:rsidP="00DB3D92">
            <w:pPr>
              <w:pStyle w:val="ListParagraph"/>
              <w:numPr>
                <w:ilvl w:val="0"/>
                <w:numId w:val="3"/>
              </w:numPr>
              <w:rPr>
                <w:sz w:val="20"/>
                <w:szCs w:val="20"/>
              </w:rPr>
            </w:pPr>
            <w:r w:rsidRPr="00DB3D92">
              <w:rPr>
                <w:b/>
                <w:sz w:val="20"/>
                <w:szCs w:val="20"/>
              </w:rPr>
              <w:t>Refer to local guidelines if av</w:t>
            </w:r>
            <w:r w:rsidR="00301176">
              <w:rPr>
                <w:b/>
                <w:sz w:val="20"/>
                <w:szCs w:val="20"/>
              </w:rPr>
              <w:t>ailable. Online link to Surgical Infection Society/IDSA</w:t>
            </w:r>
            <w:r w:rsidRPr="00DB3D92">
              <w:rPr>
                <w:b/>
                <w:sz w:val="20"/>
                <w:szCs w:val="20"/>
              </w:rPr>
              <w:t xml:space="preserve"> guidelines</w:t>
            </w:r>
            <w:r w:rsidR="003B35D5">
              <w:rPr>
                <w:b/>
                <w:sz w:val="20"/>
                <w:szCs w:val="20"/>
              </w:rPr>
              <w:t>**</w:t>
            </w:r>
            <w:r w:rsidRPr="00DB3D92">
              <w:rPr>
                <w:b/>
                <w:sz w:val="20"/>
                <w:szCs w:val="20"/>
              </w:rPr>
              <w:t xml:space="preserve">: </w:t>
            </w:r>
            <w:r w:rsidR="00A03817" w:rsidRPr="00A03817">
              <w:rPr>
                <w:sz w:val="20"/>
                <w:szCs w:val="20"/>
              </w:rPr>
              <w:t>www.idsociety.org/practice-guideline/alphabetical-guidelines/</w:t>
            </w:r>
          </w:p>
        </w:tc>
      </w:tr>
    </w:tbl>
    <w:p w14:paraId="2F3DDDB9" w14:textId="0C1411B7" w:rsidR="00822697" w:rsidRPr="006C197E" w:rsidRDefault="006C197E" w:rsidP="00822697">
      <w:pPr>
        <w:rPr>
          <w:sz w:val="20"/>
          <w:szCs w:val="20"/>
          <w:lang w:eastAsia="en-US"/>
        </w:rPr>
      </w:pPr>
      <w:r w:rsidRPr="006C197E">
        <w:rPr>
          <w:sz w:val="20"/>
          <w:szCs w:val="20"/>
          <w:lang w:eastAsia="en-US"/>
        </w:rPr>
        <w:t>IDSA, Infectious Diseases Society of America; IV, intravenous</w:t>
      </w:r>
    </w:p>
    <w:p w14:paraId="51A293C9" w14:textId="77777777" w:rsidR="00A03817" w:rsidRDefault="00E05FDD" w:rsidP="00A03817">
      <w:pPr>
        <w:spacing w:after="0"/>
        <w:rPr>
          <w:sz w:val="20"/>
          <w:szCs w:val="20"/>
          <w:lang w:eastAsia="en-US"/>
        </w:rPr>
      </w:pPr>
      <w:r w:rsidRPr="006C197E">
        <w:rPr>
          <w:b/>
          <w:sz w:val="20"/>
          <w:szCs w:val="20"/>
          <w:lang w:eastAsia="en-US"/>
        </w:rPr>
        <w:t>Reference:</w:t>
      </w:r>
      <w:r w:rsidRPr="006C197E">
        <w:rPr>
          <w:sz w:val="20"/>
          <w:szCs w:val="20"/>
        </w:rPr>
        <w:t xml:space="preserve"> </w:t>
      </w:r>
      <w:proofErr w:type="spellStart"/>
      <w:r w:rsidRPr="006C197E">
        <w:rPr>
          <w:sz w:val="20"/>
          <w:szCs w:val="20"/>
          <w:lang w:eastAsia="en-US"/>
        </w:rPr>
        <w:t>Solomkin</w:t>
      </w:r>
      <w:proofErr w:type="spellEnd"/>
      <w:r w:rsidRPr="006C197E">
        <w:rPr>
          <w:sz w:val="20"/>
          <w:szCs w:val="20"/>
          <w:lang w:eastAsia="en-US"/>
        </w:rPr>
        <w:t xml:space="preserve"> JS, et al. Diagnosis and management of complicated intra-abdominal infection in adults and children: Guidelines by the Surgical Infection Society and the Infectious Diseases Society of America. </w:t>
      </w:r>
      <w:r w:rsidRPr="006C197E">
        <w:rPr>
          <w:i/>
          <w:sz w:val="20"/>
          <w:szCs w:val="20"/>
          <w:lang w:eastAsia="en-US"/>
        </w:rPr>
        <w:t>Clin Infect Dis</w:t>
      </w:r>
      <w:r w:rsidRPr="006C197E">
        <w:rPr>
          <w:sz w:val="20"/>
          <w:szCs w:val="20"/>
          <w:lang w:eastAsia="en-US"/>
        </w:rPr>
        <w:t xml:space="preserve"> 2010;50:133-164.</w:t>
      </w:r>
    </w:p>
    <w:p w14:paraId="7535015B" w14:textId="6E401E2E" w:rsidR="00A03817" w:rsidRPr="00A03817" w:rsidRDefault="003B35D5" w:rsidP="00A03817">
      <w:pPr>
        <w:spacing w:after="0"/>
        <w:rPr>
          <w:sz w:val="20"/>
          <w:szCs w:val="20"/>
          <w:lang w:eastAsia="en-US"/>
        </w:rPr>
      </w:pPr>
      <w:r>
        <w:rPr>
          <w:bCs/>
          <w:i/>
          <w:iCs/>
          <w:sz w:val="20"/>
          <w:szCs w:val="20"/>
          <w:lang w:eastAsia="en-US"/>
        </w:rPr>
        <w:t>**</w:t>
      </w:r>
      <w:r w:rsidR="00A03817" w:rsidRPr="00A03817">
        <w:rPr>
          <w:bCs/>
          <w:i/>
          <w:iCs/>
          <w:sz w:val="20"/>
          <w:szCs w:val="20"/>
          <w:lang w:eastAsia="en-US"/>
        </w:rPr>
        <w:t xml:space="preserve">Updated guidelines for </w:t>
      </w:r>
      <w:r w:rsidR="00A03817">
        <w:rPr>
          <w:bCs/>
          <w:i/>
          <w:iCs/>
          <w:sz w:val="20"/>
          <w:szCs w:val="20"/>
          <w:lang w:eastAsia="en-US"/>
        </w:rPr>
        <w:t>IAIs</w:t>
      </w:r>
      <w:r w:rsidR="00A03817" w:rsidRPr="00A03817">
        <w:rPr>
          <w:bCs/>
          <w:i/>
          <w:iCs/>
          <w:sz w:val="20"/>
          <w:szCs w:val="20"/>
          <w:lang w:eastAsia="en-US"/>
        </w:rPr>
        <w:t xml:space="preserve"> are currently in development (as of August 2022)</w:t>
      </w:r>
    </w:p>
    <w:sectPr w:rsidR="00A03817" w:rsidRPr="00A03817" w:rsidSect="00CA0294">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3D24"/>
    <w:multiLevelType w:val="hybridMultilevel"/>
    <w:tmpl w:val="3B4E86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2F41826"/>
    <w:multiLevelType w:val="hybridMultilevel"/>
    <w:tmpl w:val="367CA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9364C7"/>
    <w:multiLevelType w:val="hybridMultilevel"/>
    <w:tmpl w:val="DF684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144B0"/>
    <w:multiLevelType w:val="hybridMultilevel"/>
    <w:tmpl w:val="AEB00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756018"/>
    <w:multiLevelType w:val="hybridMultilevel"/>
    <w:tmpl w:val="ADA2B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FF2664"/>
    <w:multiLevelType w:val="hybridMultilevel"/>
    <w:tmpl w:val="7FF8CA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44985094">
    <w:abstractNumId w:val="5"/>
  </w:num>
  <w:num w:numId="2" w16cid:durableId="1269314555">
    <w:abstractNumId w:val="0"/>
  </w:num>
  <w:num w:numId="3" w16cid:durableId="1411924153">
    <w:abstractNumId w:val="4"/>
  </w:num>
  <w:num w:numId="4" w16cid:durableId="2082673292">
    <w:abstractNumId w:val="3"/>
  </w:num>
  <w:num w:numId="5" w16cid:durableId="521020440">
    <w:abstractNumId w:val="2"/>
  </w:num>
  <w:num w:numId="6" w16cid:durableId="73427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97"/>
    <w:rsid w:val="000357B8"/>
    <w:rsid w:val="00056A04"/>
    <w:rsid w:val="000E4D46"/>
    <w:rsid w:val="001760BD"/>
    <w:rsid w:val="002E2780"/>
    <w:rsid w:val="00301176"/>
    <w:rsid w:val="00313E7E"/>
    <w:rsid w:val="00382859"/>
    <w:rsid w:val="003B35D5"/>
    <w:rsid w:val="00455B7F"/>
    <w:rsid w:val="00536604"/>
    <w:rsid w:val="005430F9"/>
    <w:rsid w:val="00600C74"/>
    <w:rsid w:val="006C197E"/>
    <w:rsid w:val="00700B7A"/>
    <w:rsid w:val="00822697"/>
    <w:rsid w:val="008276E1"/>
    <w:rsid w:val="008A5F44"/>
    <w:rsid w:val="00904058"/>
    <w:rsid w:val="00997BE4"/>
    <w:rsid w:val="009A6777"/>
    <w:rsid w:val="00A03817"/>
    <w:rsid w:val="00A85FF6"/>
    <w:rsid w:val="00AE2063"/>
    <w:rsid w:val="00B25280"/>
    <w:rsid w:val="00B62BD4"/>
    <w:rsid w:val="00B94B11"/>
    <w:rsid w:val="00C14FD2"/>
    <w:rsid w:val="00C856FB"/>
    <w:rsid w:val="00CA0294"/>
    <w:rsid w:val="00CB2476"/>
    <w:rsid w:val="00DB3D92"/>
    <w:rsid w:val="00DB4869"/>
    <w:rsid w:val="00E05FDD"/>
    <w:rsid w:val="00ED578F"/>
    <w:rsid w:val="00F95F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F1D8"/>
  <w15:chartTrackingRefBased/>
  <w15:docId w15:val="{BDF4E911-B23A-489C-803E-83C63C21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697"/>
    <w:pPr>
      <w:spacing w:after="0" w:line="240" w:lineRule="auto"/>
    </w:pPr>
    <w:rPr>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22697"/>
    <w:pPr>
      <w:spacing w:after="0" w:line="240" w:lineRule="auto"/>
    </w:pPr>
    <w:rPr>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2859"/>
    <w:rPr>
      <w:sz w:val="16"/>
      <w:szCs w:val="16"/>
    </w:rPr>
  </w:style>
  <w:style w:type="paragraph" w:styleId="CommentText">
    <w:name w:val="annotation text"/>
    <w:basedOn w:val="Normal"/>
    <w:link w:val="CommentTextChar"/>
    <w:uiPriority w:val="99"/>
    <w:semiHidden/>
    <w:unhideWhenUsed/>
    <w:rsid w:val="00382859"/>
    <w:pPr>
      <w:spacing w:line="240" w:lineRule="auto"/>
    </w:pPr>
    <w:rPr>
      <w:sz w:val="20"/>
      <w:szCs w:val="20"/>
    </w:rPr>
  </w:style>
  <w:style w:type="character" w:customStyle="1" w:styleId="CommentTextChar">
    <w:name w:val="Comment Text Char"/>
    <w:basedOn w:val="DefaultParagraphFont"/>
    <w:link w:val="CommentText"/>
    <w:uiPriority w:val="99"/>
    <w:semiHidden/>
    <w:rsid w:val="00382859"/>
    <w:rPr>
      <w:sz w:val="20"/>
      <w:szCs w:val="20"/>
    </w:rPr>
  </w:style>
  <w:style w:type="paragraph" w:styleId="CommentSubject">
    <w:name w:val="annotation subject"/>
    <w:basedOn w:val="CommentText"/>
    <w:next w:val="CommentText"/>
    <w:link w:val="CommentSubjectChar"/>
    <w:uiPriority w:val="99"/>
    <w:semiHidden/>
    <w:unhideWhenUsed/>
    <w:rsid w:val="00382859"/>
    <w:rPr>
      <w:b/>
      <w:bCs/>
    </w:rPr>
  </w:style>
  <w:style w:type="character" w:customStyle="1" w:styleId="CommentSubjectChar">
    <w:name w:val="Comment Subject Char"/>
    <w:basedOn w:val="CommentTextChar"/>
    <w:link w:val="CommentSubject"/>
    <w:uiPriority w:val="99"/>
    <w:semiHidden/>
    <w:rsid w:val="00382859"/>
    <w:rPr>
      <w:b/>
      <w:bCs/>
      <w:sz w:val="20"/>
      <w:szCs w:val="20"/>
    </w:rPr>
  </w:style>
  <w:style w:type="paragraph" w:styleId="BalloonText">
    <w:name w:val="Balloon Text"/>
    <w:basedOn w:val="Normal"/>
    <w:link w:val="BalloonTextChar"/>
    <w:uiPriority w:val="99"/>
    <w:semiHidden/>
    <w:unhideWhenUsed/>
    <w:rsid w:val="0038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859"/>
    <w:rPr>
      <w:rFonts w:ascii="Segoe UI" w:hAnsi="Segoe UI" w:cs="Segoe UI"/>
      <w:sz w:val="18"/>
      <w:szCs w:val="18"/>
    </w:rPr>
  </w:style>
  <w:style w:type="paragraph" w:styleId="ListParagraph">
    <w:name w:val="List Paragraph"/>
    <w:basedOn w:val="Normal"/>
    <w:uiPriority w:val="34"/>
    <w:qFormat/>
    <w:rsid w:val="00DB3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 Joy (HKG-WSW)</dc:creator>
  <cp:keywords/>
  <dc:description/>
  <cp:lastModifiedBy>Wee, Joy</cp:lastModifiedBy>
  <cp:revision>31</cp:revision>
  <dcterms:created xsi:type="dcterms:W3CDTF">2018-04-11T08:10:00Z</dcterms:created>
  <dcterms:modified xsi:type="dcterms:W3CDTF">2023-03-23T11:00:00Z</dcterms:modified>
</cp:coreProperties>
</file>